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F70D2" w14:textId="77777777" w:rsidR="00D76AE6" w:rsidRDefault="001F5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Servizio n. 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43"/>
        <w:gridCol w:w="3412"/>
        <w:gridCol w:w="1929"/>
        <w:gridCol w:w="5604"/>
      </w:tblGrid>
      <w:tr w:rsidR="00D76AE6" w14:paraId="59399F42" w14:textId="77777777">
        <w:tc>
          <w:tcPr>
            <w:tcW w:w="4125" w:type="dxa"/>
          </w:tcPr>
          <w:p w14:paraId="2AC7CFC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162" w:type="dxa"/>
            <w:gridSpan w:val="3"/>
          </w:tcPr>
          <w:p w14:paraId="4E7AD49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SERVIZIO DI RACCOLTA, TRASPORTO E RECUPERO/SMALTIMENTO DEI RIFIUTI URBANI E ASSIMILATI E SERVIZI COLLATERALI.</w:t>
            </w:r>
          </w:p>
        </w:tc>
      </w:tr>
      <w:tr w:rsidR="00D76AE6" w14:paraId="2BC2A5AD" w14:textId="77777777">
        <w:tc>
          <w:tcPr>
            <w:tcW w:w="4125" w:type="dxa"/>
          </w:tcPr>
          <w:p w14:paraId="129F85F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168" w:type="dxa"/>
          </w:tcPr>
          <w:p w14:paraId="0CE3FAA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6994" w:type="dxa"/>
            <w:gridSpan w:val="2"/>
          </w:tcPr>
          <w:p w14:paraId="2114886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SERVIZIO DI RACCOLTA, TRASPORTO E RECUPERO/SMALTIMENTO DEI RIFIUTI URBANI E ASSIMILATI E SERVIZI COLLATERALI.</w:t>
            </w:r>
          </w:p>
        </w:tc>
      </w:tr>
      <w:tr w:rsidR="00D76AE6" w14:paraId="367FD93F" w14:textId="77777777">
        <w:tc>
          <w:tcPr>
            <w:tcW w:w="4125" w:type="dxa"/>
            <w:vMerge w:val="restart"/>
          </w:tcPr>
          <w:p w14:paraId="655A9CC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168" w:type="dxa"/>
          </w:tcPr>
          <w:p w14:paraId="603DBB0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994" w:type="dxa"/>
            <w:gridSpan w:val="2"/>
          </w:tcPr>
          <w:p w14:paraId="3B3D375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</w:tr>
      <w:tr w:rsidR="00D76AE6" w14:paraId="6E150F72" w14:textId="77777777">
        <w:tc>
          <w:tcPr>
            <w:tcW w:w="4125" w:type="dxa"/>
            <w:vMerge/>
          </w:tcPr>
          <w:p w14:paraId="61BE0FE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53756F8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</w:p>
        </w:tc>
        <w:tc>
          <w:tcPr>
            <w:tcW w:w="6994" w:type="dxa"/>
            <w:gridSpan w:val="2"/>
          </w:tcPr>
          <w:p w14:paraId="5B4480F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D76AE6" w14:paraId="5367A6E3" w14:textId="77777777">
        <w:tc>
          <w:tcPr>
            <w:tcW w:w="4125" w:type="dxa"/>
            <w:vMerge/>
          </w:tcPr>
          <w:p w14:paraId="38FE88B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17CEC6F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</w:t>
            </w:r>
          </w:p>
        </w:tc>
        <w:tc>
          <w:tcPr>
            <w:tcW w:w="6994" w:type="dxa"/>
            <w:gridSpan w:val="2"/>
          </w:tcPr>
          <w:p w14:paraId="72B2E0D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3.382.711,68</w:t>
            </w:r>
          </w:p>
        </w:tc>
      </w:tr>
      <w:tr w:rsidR="00D76AE6" w14:paraId="7E56217D" w14:textId="77777777">
        <w:tc>
          <w:tcPr>
            <w:tcW w:w="4125" w:type="dxa"/>
            <w:vMerge/>
          </w:tcPr>
          <w:p w14:paraId="4A7A412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4F219A0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6994" w:type="dxa"/>
            <w:gridSpan w:val="2"/>
          </w:tcPr>
          <w:p w14:paraId="571FE9B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€ 502.344,59 + I.V.A. al 10% per l’anno 2019, € 593.722,94 + I.V.A. al 10% per l’anno 2020, € 612.388,32 + I.V.A. al 10% per l’anno 2021 ed € 619.056,24 + I.V.A. al 10% per gli anni 2022, 2023 e 2024.</w:t>
            </w:r>
          </w:p>
        </w:tc>
      </w:tr>
      <w:tr w:rsidR="00D76AE6" w14:paraId="3FEE1451" w14:textId="77777777">
        <w:tc>
          <w:tcPr>
            <w:tcW w:w="4125" w:type="dxa"/>
            <w:vMerge/>
          </w:tcPr>
          <w:p w14:paraId="494FBCF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1310E94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6994" w:type="dxa"/>
            <w:gridSpan w:val="2"/>
          </w:tcPr>
          <w:p w14:paraId="0AD246A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5880 del 16/04/2019</w:t>
            </w:r>
          </w:p>
        </w:tc>
      </w:tr>
      <w:tr w:rsidR="00D76AE6" w14:paraId="4B466B71" w14:textId="77777777">
        <w:tc>
          <w:tcPr>
            <w:tcW w:w="4125" w:type="dxa"/>
          </w:tcPr>
          <w:p w14:paraId="2B8E4D7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162" w:type="dxa"/>
            <w:gridSpan w:val="3"/>
          </w:tcPr>
          <w:p w14:paraId="0D3F2A4C" w14:textId="77777777" w:rsidR="00D76AE6" w:rsidRDefault="001F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APPALTO / PROCEDURA APERTA ai sensi dell’Art. 60 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D.Lgs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50/2016</w:t>
            </w:r>
          </w:p>
        </w:tc>
      </w:tr>
      <w:tr w:rsidR="00D76AE6" w14:paraId="7849010F" w14:textId="77777777">
        <w:tc>
          <w:tcPr>
            <w:tcW w:w="4125" w:type="dxa"/>
            <w:vMerge w:val="restart"/>
          </w:tcPr>
          <w:p w14:paraId="6794B2FA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168" w:type="dxa"/>
          </w:tcPr>
          <w:p w14:paraId="4EA3145C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6994" w:type="dxa"/>
            <w:gridSpan w:val="2"/>
          </w:tcPr>
          <w:p w14:paraId="6150EAB5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Impresa Sangalli Giancarlo &amp; C. S.R.L. </w:t>
            </w:r>
          </w:p>
        </w:tc>
      </w:tr>
      <w:tr w:rsidR="00D76AE6" w:rsidRPr="0079720C" w14:paraId="116F622C" w14:textId="77777777">
        <w:tc>
          <w:tcPr>
            <w:tcW w:w="4125" w:type="dxa"/>
            <w:vMerge/>
          </w:tcPr>
          <w:p w14:paraId="23BA9E74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495D815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6994" w:type="dxa"/>
            <w:gridSpan w:val="2"/>
          </w:tcPr>
          <w:p w14:paraId="2336A43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E. Fermi, 35</w:t>
            </w:r>
          </w:p>
          <w:p w14:paraId="0247B19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Città Monza (MB)</w:t>
            </w:r>
          </w:p>
          <w:p w14:paraId="1375E51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 039.2021986</w:t>
            </w:r>
          </w:p>
          <w:p w14:paraId="2CE2BCB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 info@impresangalli.it</w:t>
            </w:r>
          </w:p>
        </w:tc>
      </w:tr>
      <w:tr w:rsidR="00D76AE6" w14:paraId="4E995B1B" w14:textId="77777777">
        <w:tc>
          <w:tcPr>
            <w:tcW w:w="4125" w:type="dxa"/>
            <w:vMerge/>
          </w:tcPr>
          <w:p w14:paraId="7915FEB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68" w:type="dxa"/>
          </w:tcPr>
          <w:p w14:paraId="5BD965F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6994" w:type="dxa"/>
            <w:gridSpan w:val="2"/>
          </w:tcPr>
          <w:p w14:paraId="3E2939C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00847160967</w:t>
            </w:r>
          </w:p>
        </w:tc>
      </w:tr>
      <w:tr w:rsidR="00D76AE6" w14:paraId="2BD0E5A9" w14:textId="77777777">
        <w:tc>
          <w:tcPr>
            <w:tcW w:w="4125" w:type="dxa"/>
            <w:vMerge/>
          </w:tcPr>
          <w:p w14:paraId="6C490B4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49426EE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6994" w:type="dxa"/>
            <w:gridSpan w:val="2"/>
          </w:tcPr>
          <w:p w14:paraId="14A61C31" w14:textId="77777777" w:rsidR="00D76AE6" w:rsidRDefault="001F5F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Spurgo fognature civili, - industriali e pozzi neri, servizi di igiene urbana, pulizia meccanica e manuale del suolo pubblico, realizzazione di centri di raccolta e di piattaforme per la raccolta differenziata, la disinfestazione, la derattizzazione, organizzazione di campagne di informazione e sensibilizzazione  nell’ambito del settore ambientale, raccolta-trasporto – trattamento e recupero dei rifiuti solidi urbani e rifiuti solidi assimilabili agli urbani, autotrasporto merci per proprio e per conto di terzi, realizzazione/gestione per conto proprio e per conto terzi di impianti di preparazione per il riutilizzo di impianti di riciclaggio, impianti di recupero e di impianti di smaltimento di rifiuti urbani, speciali e non pericolosi, bonifiche ambientali, manutenzione di impianti industriali e pulizie in genere,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fossatura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lavori di costruzione e manutenzione cimiteriali,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costruzione e gestione forni crematori, lavori di progettazione sistemazione e manutenzione e gestione aree destinate a verde pubblico, sgombero neve, consulenza ambientale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intermediazione nei rapporti con gli operatori del settore “smaltimento – recupero rifiuti”, gestione parcheggi pubblici e privati in proprio e per conto terzi, rimozione trasporto e assistenza tecnica  di automezzi di qualsiasi tipo,  commercio di autoveicoli usati o destinati alla demolizione, demolizione veicoli a motore e rimorchi, raccolta trattamento bonifica e recupero di autoveicoli dismessi e/o abbandonati, soccorso stradale per veicoli e rimozione forzata, ripristino condizioni di sicurezza stradale, di sicurezza per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viabilita’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situazioni di emergenza post  incidente, pulizia strade,  trasporto cose con automezzi per conto terzi, noleggio di automezzi per trasporto merci, per trasporti speciali e di autogru, sanificazione e disinfezione immobili di ogni genere, vendita e distribuzione di sacchi e contenitori di rifiuti di prodotti macchinari ed attrezzature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l’attivita’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sanificazione, vendita di dispositivi di protezione individuale.</w:t>
            </w:r>
          </w:p>
          <w:p w14:paraId="43945014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7BA5C7C3" w14:textId="77777777">
        <w:tc>
          <w:tcPr>
            <w:tcW w:w="4125" w:type="dxa"/>
            <w:vMerge/>
          </w:tcPr>
          <w:p w14:paraId="0807486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1A727B1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6994" w:type="dxa"/>
            <w:gridSpan w:val="2"/>
          </w:tcPr>
          <w:p w14:paraId="34E977C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- 1137962</w:t>
            </w:r>
          </w:p>
        </w:tc>
      </w:tr>
      <w:tr w:rsidR="00D76AE6" w14:paraId="2FCDDBB5" w14:textId="77777777">
        <w:tc>
          <w:tcPr>
            <w:tcW w:w="4125" w:type="dxa"/>
            <w:vMerge w:val="restart"/>
          </w:tcPr>
          <w:p w14:paraId="21ED914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4959" w:type="dxa"/>
            <w:gridSpan w:val="2"/>
          </w:tcPr>
          <w:p w14:paraId="31EC34C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03" w:type="dxa"/>
          </w:tcPr>
          <w:p w14:paraId="4DB18F28" w14:textId="12FD0D30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Anno 2023: Ricavi </w:t>
            </w:r>
            <w:r w:rsidR="0046531B" w:rsidRPr="0046531B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€ 102.034.514,00</w:t>
            </w:r>
          </w:p>
        </w:tc>
      </w:tr>
      <w:tr w:rsidR="00D76AE6" w14:paraId="1C81F6B3" w14:textId="77777777">
        <w:tc>
          <w:tcPr>
            <w:tcW w:w="4125" w:type="dxa"/>
            <w:vMerge/>
          </w:tcPr>
          <w:p w14:paraId="077270F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14:paraId="4C6589A1" w14:textId="77777777" w:rsidR="00D76AE6" w:rsidRPr="0046531B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03" w:type="dxa"/>
          </w:tcPr>
          <w:p w14:paraId="6E5DB8A8" w14:textId="3F6E2D51" w:rsidR="00D76AE6" w:rsidRPr="0046531B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531B" w:rsidRPr="0046531B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D76AE6" w14:paraId="239EF00C" w14:textId="77777777">
        <w:tc>
          <w:tcPr>
            <w:tcW w:w="4125" w:type="dxa"/>
          </w:tcPr>
          <w:p w14:paraId="40E1F9A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168" w:type="dxa"/>
          </w:tcPr>
          <w:p w14:paraId="3832961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6994" w:type="dxa"/>
            <w:gridSpan w:val="2"/>
          </w:tcPr>
          <w:p w14:paraId="07B3D854" w14:textId="77777777" w:rsidR="00D76AE6" w:rsidRDefault="001F5F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Ritiro, trasporto e smaltimento rifiuti urbani e assimilati; gestione Centro Comunale di Raccolta</w:t>
            </w:r>
          </w:p>
          <w:p w14:paraId="197ED34D" w14:textId="77777777" w:rsidR="00D76AE6" w:rsidRDefault="00D76AE6">
            <w:pPr>
              <w:spacing w:before="60" w:after="6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011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BD467" w14:textId="77777777" w:rsidR="00D76AE6" w:rsidRDefault="00D76AE6">
      <w:pPr>
        <w:spacing w:after="0" w:line="240" w:lineRule="auto"/>
        <w:rPr>
          <w:rFonts w:ascii="Times New Roman" w:hAnsi="Times New Roman" w:cs="Times New Roman"/>
        </w:rPr>
      </w:pPr>
    </w:p>
    <w:p w14:paraId="7AC0374D" w14:textId="77777777" w:rsidR="00D76AE6" w:rsidRDefault="00D76AE6">
      <w:pPr>
        <w:rPr>
          <w:rFonts w:ascii="Times New Roman" w:hAnsi="Times New Roman" w:cs="Times New Roman"/>
        </w:rPr>
      </w:pPr>
    </w:p>
    <w:p w14:paraId="3B16748B" w14:textId="77777777" w:rsidR="00D76AE6" w:rsidRDefault="00D76AE6">
      <w:pPr>
        <w:rPr>
          <w:rFonts w:ascii="Times New Roman" w:hAnsi="Times New Roman" w:cs="Times New Roman"/>
        </w:rPr>
      </w:pPr>
    </w:p>
    <w:p w14:paraId="6781BDCD" w14:textId="77777777" w:rsidR="00D76AE6" w:rsidRDefault="00D76AE6">
      <w:pPr>
        <w:rPr>
          <w:rFonts w:ascii="Times New Roman" w:hAnsi="Times New Roman" w:cs="Times New Roman"/>
        </w:rPr>
      </w:pPr>
    </w:p>
    <w:p w14:paraId="45E3F90E" w14:textId="77777777" w:rsidR="0046531B" w:rsidRDefault="0046531B">
      <w:pPr>
        <w:rPr>
          <w:rFonts w:ascii="Times New Roman" w:hAnsi="Times New Roman" w:cs="Times New Roman"/>
        </w:rPr>
      </w:pPr>
    </w:p>
    <w:p w14:paraId="1EED4ECC" w14:textId="77777777" w:rsidR="0046531B" w:rsidRDefault="0046531B">
      <w:pPr>
        <w:rPr>
          <w:rFonts w:ascii="Times New Roman" w:hAnsi="Times New Roman" w:cs="Times New Roman"/>
        </w:rPr>
      </w:pPr>
    </w:p>
    <w:p w14:paraId="1354F76B" w14:textId="77777777" w:rsidR="0046531B" w:rsidRDefault="0046531B">
      <w:pPr>
        <w:rPr>
          <w:rFonts w:ascii="Times New Roman" w:hAnsi="Times New Roman" w:cs="Times New Roman"/>
        </w:rPr>
      </w:pPr>
    </w:p>
    <w:p w14:paraId="68C88B68" w14:textId="77777777" w:rsidR="0046531B" w:rsidRDefault="0046531B">
      <w:pPr>
        <w:rPr>
          <w:rFonts w:ascii="Times New Roman" w:hAnsi="Times New Roman" w:cs="Times New Roman"/>
        </w:rPr>
      </w:pPr>
    </w:p>
    <w:p w14:paraId="775B6259" w14:textId="77777777" w:rsidR="00D76AE6" w:rsidRDefault="001F5F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AFFIDAMENTO ECONOMICO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1752"/>
        <w:gridCol w:w="1715"/>
        <w:gridCol w:w="1900"/>
        <w:gridCol w:w="1724"/>
        <w:gridCol w:w="1898"/>
        <w:gridCol w:w="1777"/>
        <w:gridCol w:w="1735"/>
        <w:gridCol w:w="1776"/>
      </w:tblGrid>
      <w:tr w:rsidR="00D76AE6" w14:paraId="3EB49B5A" w14:textId="77777777">
        <w:tc>
          <w:tcPr>
            <w:tcW w:w="1751" w:type="dxa"/>
          </w:tcPr>
          <w:p w14:paraId="07D8DA5C" w14:textId="77777777" w:rsidR="00D76AE6" w:rsidRDefault="00D76AE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253DAFCC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900" w:type="dxa"/>
          </w:tcPr>
          <w:p w14:paraId="4A8DFDAD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24" w:type="dxa"/>
          </w:tcPr>
          <w:p w14:paraId="4449A426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898" w:type="dxa"/>
          </w:tcPr>
          <w:p w14:paraId="582B1886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77" w:type="dxa"/>
          </w:tcPr>
          <w:p w14:paraId="0858BAE7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735" w:type="dxa"/>
          </w:tcPr>
          <w:p w14:paraId="4F06EAD0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</w:t>
            </w:r>
          </w:p>
        </w:tc>
        <w:tc>
          <w:tcPr>
            <w:tcW w:w="1776" w:type="dxa"/>
          </w:tcPr>
          <w:p w14:paraId="576AFE8F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D76AE6" w14:paraId="440D125C" w14:textId="77777777">
        <w:tc>
          <w:tcPr>
            <w:tcW w:w="1751" w:type="dxa"/>
          </w:tcPr>
          <w:p w14:paraId="31B898A6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14" w:type="dxa"/>
          </w:tcPr>
          <w:p w14:paraId="11C4E0B0" w14:textId="1175D92A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€ 1</w:t>
            </w:r>
            <w:r w:rsidR="0079720C"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14:paraId="48EC853F" w14:textId="5761187B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 w:rsidR="0079720C">
              <w:rPr>
                <w:rFonts w:ascii="Times New Roman" w:hAnsi="Times New Roman" w:cs="Times New Roman"/>
                <w:sz w:val="24"/>
                <w:szCs w:val="24"/>
              </w:rPr>
              <w:t>736.634,00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20C">
              <w:rPr>
                <w:rFonts w:ascii="Times New Roman" w:hAnsi="Times New Roman" w:cs="Times New Roman"/>
                <w:sz w:val="24"/>
                <w:szCs w:val="24"/>
              </w:rPr>
              <w:t xml:space="preserve">(inclusa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iva 10%</w:t>
            </w:r>
            <w:r w:rsidR="007972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</w:tcPr>
          <w:p w14:paraId="34C09C67" w14:textId="14D5B49E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Del. CC n. 1</w:t>
            </w:r>
            <w:r w:rsidR="006C5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6C57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C5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14:paraId="5C3CDF1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N.D. </w:t>
            </w:r>
          </w:p>
        </w:tc>
        <w:tc>
          <w:tcPr>
            <w:tcW w:w="1777" w:type="dxa"/>
          </w:tcPr>
          <w:p w14:paraId="2646DCE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0796681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entrate tariffarie sono volte alla copertura totale dei costi</w:t>
            </w:r>
          </w:p>
        </w:tc>
        <w:tc>
          <w:tcPr>
            <w:tcW w:w="1776" w:type="dxa"/>
          </w:tcPr>
          <w:p w14:paraId="3022D9D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Del. CC n. 14 del 30.04.2022</w:t>
            </w:r>
          </w:p>
        </w:tc>
      </w:tr>
      <w:tr w:rsidR="00D76AE6" w14:paraId="3E782510" w14:textId="77777777">
        <w:tc>
          <w:tcPr>
            <w:tcW w:w="1751" w:type="dxa"/>
          </w:tcPr>
          <w:p w14:paraId="44861EC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1714" w:type="dxa"/>
          </w:tcPr>
          <w:p w14:paraId="68586DF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7FB89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5D8FEC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0B2D92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  <w:tc>
          <w:tcPr>
            <w:tcW w:w="1777" w:type="dxa"/>
          </w:tcPr>
          <w:p w14:paraId="08429F3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7EE3C5B7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3250687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3929B727" w14:textId="77777777">
        <w:tc>
          <w:tcPr>
            <w:tcW w:w="1751" w:type="dxa"/>
          </w:tcPr>
          <w:p w14:paraId="22329D4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14" w:type="dxa"/>
          </w:tcPr>
          <w:p w14:paraId="0AC760D7" w14:textId="25BA27E1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C577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costo </w:t>
            </w:r>
          </w:p>
        </w:tc>
        <w:tc>
          <w:tcPr>
            <w:tcW w:w="1900" w:type="dxa"/>
          </w:tcPr>
          <w:p w14:paraId="1DDAE19D" w14:textId="30766BF1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C5773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costo</w:t>
            </w:r>
          </w:p>
        </w:tc>
        <w:tc>
          <w:tcPr>
            <w:tcW w:w="1724" w:type="dxa"/>
          </w:tcPr>
          <w:p w14:paraId="710DFEC7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40F401B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significativo</w:t>
            </w:r>
          </w:p>
        </w:tc>
        <w:tc>
          <w:tcPr>
            <w:tcW w:w="1777" w:type="dxa"/>
          </w:tcPr>
          <w:p w14:paraId="6BF2B93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35" w:type="dxa"/>
          </w:tcPr>
          <w:p w14:paraId="59B7ACB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6691A7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47FD154A" w14:textId="77777777">
        <w:tc>
          <w:tcPr>
            <w:tcW w:w="1751" w:type="dxa"/>
          </w:tcPr>
          <w:p w14:paraId="10641E53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6BEC10BE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A4B4AD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58444F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0E56D6E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47E481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BA03F5E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DABEF0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69192" w14:textId="77777777" w:rsidR="00D76AE6" w:rsidRDefault="00D76AE6">
      <w:pPr>
        <w:rPr>
          <w:rFonts w:ascii="Times New Roman" w:hAnsi="Times New Roman" w:cs="Times New Roman"/>
        </w:rPr>
      </w:pPr>
    </w:p>
    <w:p w14:paraId="09AB7824" w14:textId="77777777" w:rsidR="00D76AE6" w:rsidRDefault="001F5F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3"/>
        <w:gridCol w:w="1849"/>
        <w:gridCol w:w="2126"/>
        <w:gridCol w:w="2186"/>
      </w:tblGrid>
      <w:tr w:rsidR="00D76AE6" w14:paraId="0A3BD894" w14:textId="77777777">
        <w:tc>
          <w:tcPr>
            <w:tcW w:w="2064" w:type="dxa"/>
          </w:tcPr>
          <w:p w14:paraId="122CB859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58A8FBCF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Igiene ambientale</w:t>
            </w:r>
          </w:p>
        </w:tc>
        <w:tc>
          <w:tcPr>
            <w:tcW w:w="2300" w:type="dxa"/>
          </w:tcPr>
          <w:p w14:paraId="65D106FE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1F063377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3" w:type="dxa"/>
          </w:tcPr>
          <w:p w14:paraId="4BF11301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7A72DEBB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6" w:type="dxa"/>
          </w:tcPr>
          <w:p w14:paraId="23D7B62E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2574BB22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DELL’’UTENZA</w:t>
            </w:r>
          </w:p>
        </w:tc>
      </w:tr>
      <w:tr w:rsidR="00D76AE6" w14:paraId="7C138385" w14:textId="77777777">
        <w:tc>
          <w:tcPr>
            <w:tcW w:w="2064" w:type="dxa"/>
          </w:tcPr>
          <w:p w14:paraId="34F05559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0306F7E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849" w:type="dxa"/>
          </w:tcPr>
          <w:p w14:paraId="3D61E23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903" w:type="dxa"/>
          </w:tcPr>
          <w:p w14:paraId="6F311F4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849" w:type="dxa"/>
          </w:tcPr>
          <w:p w14:paraId="4A897421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26" w:type="dxa"/>
          </w:tcPr>
          <w:p w14:paraId="1638FCB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85" w:type="dxa"/>
          </w:tcPr>
          <w:p w14:paraId="2343D37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</w:tr>
      <w:tr w:rsidR="00D76AE6" w14:paraId="7ECA9B8F" w14:textId="77777777">
        <w:tc>
          <w:tcPr>
            <w:tcW w:w="2064" w:type="dxa"/>
          </w:tcPr>
          <w:p w14:paraId="13A96D9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65DF1A3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3AFEA02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Vedi note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849" w:type="dxa"/>
          </w:tcPr>
          <w:p w14:paraId="5553CE84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B267493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52DDF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AB0F6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E03B1D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25C85750" w14:textId="77777777">
        <w:tc>
          <w:tcPr>
            <w:tcW w:w="2064" w:type="dxa"/>
          </w:tcPr>
          <w:p w14:paraId="3DBEB2F6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57E4648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849" w:type="dxa"/>
          </w:tcPr>
          <w:p w14:paraId="6FF07A3C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903" w:type="dxa"/>
          </w:tcPr>
          <w:p w14:paraId="778E33AC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849" w:type="dxa"/>
          </w:tcPr>
          <w:p w14:paraId="256152A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26" w:type="dxa"/>
          </w:tcPr>
          <w:p w14:paraId="21ABE22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2185" w:type="dxa"/>
          </w:tcPr>
          <w:p w14:paraId="5A0FA8B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</w:tr>
      <w:tr w:rsidR="00D76AE6" w14:paraId="2F41F6C0" w14:textId="77777777">
        <w:tc>
          <w:tcPr>
            <w:tcW w:w="2064" w:type="dxa"/>
          </w:tcPr>
          <w:p w14:paraId="11CA61F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1C1C382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significativo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849" w:type="dxa"/>
          </w:tcPr>
          <w:p w14:paraId="01A26B8A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F0431E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EFC0BB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596C40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F9AC34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E6" w14:paraId="706CC4FE" w14:textId="77777777">
        <w:tc>
          <w:tcPr>
            <w:tcW w:w="2064" w:type="dxa"/>
          </w:tcPr>
          <w:p w14:paraId="10A3DE92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799E511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998E4B3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98A73AF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F84AD1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0D46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5120C4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E4AFF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p w14:paraId="601FE2E4" w14:textId="77777777" w:rsidR="00D76AE6" w:rsidRDefault="00D76AE6">
      <w:pPr>
        <w:rPr>
          <w:rFonts w:ascii="Times New Roman" w:hAnsi="Times New Roman" w:cs="Times New Roman"/>
        </w:rPr>
      </w:pPr>
    </w:p>
    <w:p w14:paraId="08E402A5" w14:textId="77777777" w:rsidR="0046531B" w:rsidRDefault="0046531B">
      <w:pPr>
        <w:rPr>
          <w:rFonts w:ascii="Times New Roman" w:hAnsi="Times New Roman" w:cs="Times New Roman"/>
        </w:rPr>
      </w:pPr>
    </w:p>
    <w:p w14:paraId="521B7FCC" w14:textId="77777777" w:rsidR="0046531B" w:rsidRDefault="0046531B">
      <w:pPr>
        <w:rPr>
          <w:rFonts w:ascii="Times New Roman" w:hAnsi="Times New Roman" w:cs="Times New Roman"/>
        </w:rPr>
      </w:pPr>
    </w:p>
    <w:p w14:paraId="7004FF87" w14:textId="77777777" w:rsidR="0046531B" w:rsidRDefault="0046531B">
      <w:pPr>
        <w:rPr>
          <w:rFonts w:ascii="Times New Roman" w:hAnsi="Times New Roman" w:cs="Times New Roman"/>
        </w:rPr>
      </w:pPr>
    </w:p>
    <w:p w14:paraId="42501EE4" w14:textId="77777777" w:rsidR="00D76AE6" w:rsidRDefault="001F5F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065"/>
        <w:gridCol w:w="2300"/>
        <w:gridCol w:w="1849"/>
        <w:gridCol w:w="1904"/>
        <w:gridCol w:w="1849"/>
        <w:gridCol w:w="2125"/>
        <w:gridCol w:w="2185"/>
      </w:tblGrid>
      <w:tr w:rsidR="00D76AE6" w14:paraId="63D8075C" w14:textId="77777777">
        <w:tc>
          <w:tcPr>
            <w:tcW w:w="2064" w:type="dxa"/>
          </w:tcPr>
          <w:p w14:paraId="16BDF768" w14:textId="77777777" w:rsidR="00D76AE6" w:rsidRDefault="00D76AE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10C91DD0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9" w:type="dxa"/>
          </w:tcPr>
          <w:p w14:paraId="0E895D8D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4" w:type="dxa"/>
          </w:tcPr>
          <w:p w14:paraId="46D6AB69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9" w:type="dxa"/>
          </w:tcPr>
          <w:p w14:paraId="347AB609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25" w:type="dxa"/>
          </w:tcPr>
          <w:p w14:paraId="62A63768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85" w:type="dxa"/>
          </w:tcPr>
          <w:p w14:paraId="1DA87D34" w14:textId="77777777" w:rsidR="00D76AE6" w:rsidRDefault="001F5F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D76AE6" w14:paraId="585E7CC7" w14:textId="77777777">
        <w:tc>
          <w:tcPr>
            <w:tcW w:w="2064" w:type="dxa"/>
          </w:tcPr>
          <w:p w14:paraId="719F3B9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04BE3AFF" w14:textId="28AC165B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Quantita’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attesa anno 2023;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totale RU </w:t>
            </w:r>
          </w:p>
          <w:p w14:paraId="10E9F705" w14:textId="594215F0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 2.853.219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RD DGR 6511 del 2017</w:t>
            </w:r>
          </w:p>
        </w:tc>
        <w:tc>
          <w:tcPr>
            <w:tcW w:w="1849" w:type="dxa"/>
          </w:tcPr>
          <w:p w14:paraId="7AB63EF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Robbio</w:t>
            </w:r>
          </w:p>
        </w:tc>
        <w:tc>
          <w:tcPr>
            <w:tcW w:w="1904" w:type="dxa"/>
          </w:tcPr>
          <w:p w14:paraId="3C9BC81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Ritiro, trasporto smaltimento rifiuti</w:t>
            </w:r>
          </w:p>
        </w:tc>
        <w:tc>
          <w:tcPr>
            <w:tcW w:w="1849" w:type="dxa"/>
          </w:tcPr>
          <w:p w14:paraId="3F578274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Quanto previsto dalla L. 146 del 12.06.1990 </w:t>
            </w:r>
          </w:p>
        </w:tc>
        <w:tc>
          <w:tcPr>
            <w:tcW w:w="2125" w:type="dxa"/>
          </w:tcPr>
          <w:p w14:paraId="1B347828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 previsto dalla L. 146 del 12.06.1990</w:t>
            </w:r>
          </w:p>
        </w:tc>
        <w:tc>
          <w:tcPr>
            <w:tcW w:w="2185" w:type="dxa"/>
          </w:tcPr>
          <w:p w14:paraId="46F24C1B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 rappresentato dal Capitolato Speciale d’Appalto</w:t>
            </w:r>
          </w:p>
        </w:tc>
      </w:tr>
      <w:tr w:rsidR="00D76AE6" w14:paraId="42A1BC34" w14:textId="77777777">
        <w:tc>
          <w:tcPr>
            <w:tcW w:w="2064" w:type="dxa"/>
          </w:tcPr>
          <w:p w14:paraId="3BE5B76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76B90350" w14:textId="3B02905F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Quantità anno 2023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Kg 2.982.692</w:t>
            </w:r>
          </w:p>
        </w:tc>
        <w:tc>
          <w:tcPr>
            <w:tcW w:w="1849" w:type="dxa"/>
          </w:tcPr>
          <w:p w14:paraId="32C116AA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Robbio</w:t>
            </w:r>
          </w:p>
        </w:tc>
        <w:tc>
          <w:tcPr>
            <w:tcW w:w="1904" w:type="dxa"/>
          </w:tcPr>
          <w:p w14:paraId="348F425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849" w:type="dxa"/>
          </w:tcPr>
          <w:p w14:paraId="76EFC6A2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2125" w:type="dxa"/>
          </w:tcPr>
          <w:p w14:paraId="67A4314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2185" w:type="dxa"/>
          </w:tcPr>
          <w:p w14:paraId="2104724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</w:tr>
      <w:tr w:rsidR="00D76AE6" w14:paraId="2AE4E26D" w14:textId="77777777">
        <w:tc>
          <w:tcPr>
            <w:tcW w:w="2064" w:type="dxa"/>
          </w:tcPr>
          <w:p w14:paraId="51BDF4A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7F5E80E0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Quantità anno 2022 </w:t>
            </w:r>
          </w:p>
          <w:p w14:paraId="67832103" w14:textId="122C2F8D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 129.473</w:t>
            </w:r>
          </w:p>
        </w:tc>
        <w:tc>
          <w:tcPr>
            <w:tcW w:w="1849" w:type="dxa"/>
          </w:tcPr>
          <w:p w14:paraId="2C9651D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Robbio</w:t>
            </w:r>
          </w:p>
        </w:tc>
        <w:tc>
          <w:tcPr>
            <w:tcW w:w="1904" w:type="dxa"/>
          </w:tcPr>
          <w:p w14:paraId="1DCFB36D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14:paraId="44232727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14:paraId="13A1D2BF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5" w:type="dxa"/>
          </w:tcPr>
          <w:p w14:paraId="421E991E" w14:textId="77777777" w:rsidR="00D76AE6" w:rsidRDefault="001F5F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AE6" w14:paraId="3B8534D1" w14:textId="77777777">
        <w:tc>
          <w:tcPr>
            <w:tcW w:w="2064" w:type="dxa"/>
          </w:tcPr>
          <w:p w14:paraId="29CF30DD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0C9249C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32539A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6226848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107621C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4B7861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1560185" w14:textId="77777777" w:rsidR="00D76AE6" w:rsidRDefault="00D76AE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8062E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p w14:paraId="6621B46D" w14:textId="77777777" w:rsidR="00D76AE6" w:rsidRPr="0046531B" w:rsidRDefault="001F5FD4">
      <w:pPr>
        <w:pStyle w:val="Paragrafoelenco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  <w:r w:rsidRPr="0046531B">
        <w:rPr>
          <w:rFonts w:ascii="Times New Roman" w:hAnsi="Times New Roman" w:cs="Times New Roman"/>
          <w:sz w:val="18"/>
          <w:szCs w:val="18"/>
        </w:rPr>
        <w:t xml:space="preserve">Non </w:t>
      </w:r>
      <w:proofErr w:type="spellStart"/>
      <w:r w:rsidRPr="0046531B">
        <w:rPr>
          <w:rFonts w:ascii="Times New Roman" w:hAnsi="Times New Roman" w:cs="Times New Roman"/>
          <w:sz w:val="18"/>
          <w:szCs w:val="18"/>
        </w:rPr>
        <w:t>é</w:t>
      </w:r>
      <w:proofErr w:type="spellEnd"/>
      <w:r w:rsidRPr="0046531B">
        <w:rPr>
          <w:rFonts w:ascii="Times New Roman" w:hAnsi="Times New Roman" w:cs="Times New Roman"/>
          <w:sz w:val="18"/>
          <w:szCs w:val="18"/>
        </w:rPr>
        <w:t xml:space="preserve"> possibile alcun confronto con altro operatore esistente sul mercato, in quanto trattasi del primo appalto comunale del genere.</w:t>
      </w:r>
    </w:p>
    <w:p w14:paraId="3613AFC3" w14:textId="77777777" w:rsidR="00D76AE6" w:rsidRPr="0046531B" w:rsidRDefault="00D76AE6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2C4A9EDD" w14:textId="77777777" w:rsidR="00D76AE6" w:rsidRPr="0046531B" w:rsidRDefault="001F5FD4">
      <w:pPr>
        <w:pStyle w:val="Paragrafoelenco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  <w:r w:rsidRPr="0046531B">
        <w:rPr>
          <w:rFonts w:ascii="Times New Roman" w:hAnsi="Times New Roman" w:cs="Times New Roman"/>
          <w:sz w:val="18"/>
          <w:szCs w:val="18"/>
        </w:rPr>
        <w:t xml:space="preserve">Lo scostamento </w:t>
      </w:r>
      <w:proofErr w:type="spellStart"/>
      <w:r w:rsidRPr="0046531B">
        <w:rPr>
          <w:rFonts w:ascii="Times New Roman" w:hAnsi="Times New Roman" w:cs="Times New Roman"/>
          <w:sz w:val="18"/>
          <w:szCs w:val="18"/>
        </w:rPr>
        <w:t>é</w:t>
      </w:r>
      <w:proofErr w:type="spellEnd"/>
      <w:r w:rsidRPr="0046531B">
        <w:rPr>
          <w:rFonts w:ascii="Times New Roman" w:hAnsi="Times New Roman" w:cs="Times New Roman"/>
          <w:sz w:val="18"/>
          <w:szCs w:val="18"/>
        </w:rPr>
        <w:t xml:space="preserve"> da ritenersi non significativo, in quanto il DEC (Direttore dell’Esecuzione Contrattuale) ha rilevato </w:t>
      </w:r>
      <w:proofErr w:type="spellStart"/>
      <w:r w:rsidRPr="0046531B">
        <w:rPr>
          <w:rFonts w:ascii="Times New Roman" w:hAnsi="Times New Roman" w:cs="Times New Roman"/>
          <w:sz w:val="18"/>
          <w:szCs w:val="18"/>
        </w:rPr>
        <w:t>criticita’</w:t>
      </w:r>
      <w:proofErr w:type="spellEnd"/>
      <w:r w:rsidRPr="0046531B">
        <w:rPr>
          <w:rFonts w:ascii="Times New Roman" w:hAnsi="Times New Roman" w:cs="Times New Roman"/>
          <w:sz w:val="18"/>
          <w:szCs w:val="18"/>
        </w:rPr>
        <w:t xml:space="preserve"> del tutto minime rispetto al servizio atteso e tutte puntualmente risolte dall’appaltatore in tempi rapidissimi.</w:t>
      </w:r>
    </w:p>
    <w:p w14:paraId="45BD41A7" w14:textId="77777777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RESPONSABILE DEL SERVIZIO </w:t>
      </w:r>
    </w:p>
    <w:p w14:paraId="088C7472" w14:textId="3B836A0A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 w:rsidRPr="004A47B5">
        <w:t xml:space="preserve">Robbio, </w:t>
      </w:r>
      <w:r w:rsidR="0046531B" w:rsidRPr="004A47B5">
        <w:t>05</w:t>
      </w:r>
      <w:r w:rsidRPr="004A47B5">
        <w:t>/12/2024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POLIZIA LOCALE – ATTIVITA’ PRODUTTIVE E TUTELA AMBIENTALE</w:t>
      </w:r>
    </w:p>
    <w:p w14:paraId="0F5BE58D" w14:textId="77777777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F.to Luciano </w:t>
      </w:r>
      <w:proofErr w:type="spellStart"/>
      <w:r>
        <w:t>Legnazzi</w:t>
      </w:r>
      <w:proofErr w:type="spellEnd"/>
    </w:p>
    <w:p w14:paraId="5382052C" w14:textId="12CE208F" w:rsidR="00D76AE6" w:rsidRDefault="001F5FD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D569B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p w14:paraId="20C0482F" w14:textId="77777777" w:rsidR="00D76AE6" w:rsidRDefault="00D76AE6">
      <w:pPr>
        <w:spacing w:before="60" w:after="60" w:line="240" w:lineRule="auto"/>
        <w:rPr>
          <w:rFonts w:ascii="Times New Roman" w:hAnsi="Times New Roman" w:cs="Times New Roman"/>
        </w:rPr>
      </w:pPr>
    </w:p>
    <w:sectPr w:rsidR="00D76AE6" w:rsidSect="0046531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CF2"/>
    <w:multiLevelType w:val="multilevel"/>
    <w:tmpl w:val="2CD0B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90232D"/>
    <w:multiLevelType w:val="multilevel"/>
    <w:tmpl w:val="4756353C"/>
    <w:lvl w:ilvl="0">
      <w:start w:val="1"/>
      <w:numFmt w:val="decimal"/>
      <w:lvlText w:val="(%1)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2688">
    <w:abstractNumId w:val="1"/>
  </w:num>
  <w:num w:numId="2" w16cid:durableId="100998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6"/>
    <w:rsid w:val="001F5FD4"/>
    <w:rsid w:val="0046531B"/>
    <w:rsid w:val="004A47B5"/>
    <w:rsid w:val="006C5773"/>
    <w:rsid w:val="0079720C"/>
    <w:rsid w:val="00CD6D18"/>
    <w:rsid w:val="00D343D9"/>
    <w:rsid w:val="00D76AE6"/>
    <w:rsid w:val="00D90E95"/>
    <w:rsid w:val="00E96BF2"/>
    <w:rsid w:val="00EE18AD"/>
    <w:rsid w:val="00F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DB61"/>
  <w15:docId w15:val="{75D27742-039E-49D3-B646-40FDDA27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78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AB6EF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F82C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65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6</cp:revision>
  <cp:lastPrinted>2023-12-12T09:33:00Z</cp:lastPrinted>
  <dcterms:created xsi:type="dcterms:W3CDTF">2024-12-04T09:49:00Z</dcterms:created>
  <dcterms:modified xsi:type="dcterms:W3CDTF">2024-12-09T09:17:00Z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