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3B320" w14:textId="77777777" w:rsidR="0009270F" w:rsidRDefault="0009270F">
      <w:pPr>
        <w:spacing w:after="0" w:line="240" w:lineRule="auto"/>
        <w:jc w:val="center"/>
        <w:rPr>
          <w:rFonts w:ascii="Cambria" w:hAnsi="Cambria"/>
        </w:rPr>
      </w:pPr>
    </w:p>
    <w:p w14:paraId="397B9E27" w14:textId="77777777" w:rsidR="0009270F" w:rsidRDefault="0009270F">
      <w:pPr>
        <w:spacing w:after="0" w:line="240" w:lineRule="auto"/>
        <w:jc w:val="center"/>
        <w:rPr>
          <w:rFonts w:ascii="Cambria" w:hAnsi="Cambria"/>
        </w:rPr>
      </w:pPr>
    </w:p>
    <w:p w14:paraId="566F1B9A" w14:textId="77777777" w:rsidR="0009270F" w:rsidRDefault="0009270F">
      <w:pPr>
        <w:spacing w:after="0" w:line="240" w:lineRule="auto"/>
        <w:jc w:val="center"/>
        <w:rPr>
          <w:rFonts w:ascii="Cambria" w:hAnsi="Cambria"/>
        </w:rPr>
      </w:pPr>
    </w:p>
    <w:p w14:paraId="7F82D030" w14:textId="77777777" w:rsidR="0009270F" w:rsidRDefault="0009270F">
      <w:pPr>
        <w:spacing w:after="0" w:line="240" w:lineRule="auto"/>
        <w:jc w:val="center"/>
        <w:rPr>
          <w:rFonts w:ascii="Cambria" w:hAnsi="Cambria"/>
          <w:sz w:val="36"/>
          <w:szCs w:val="36"/>
        </w:rPr>
      </w:pPr>
    </w:p>
    <w:p w14:paraId="5879BB32" w14:textId="77777777" w:rsidR="0009270F" w:rsidRDefault="00E3567C">
      <w:pPr>
        <w:spacing w:after="0" w:line="240" w:lineRule="auto"/>
        <w:jc w:val="center"/>
        <w:rPr>
          <w:rFonts w:ascii="Cambria" w:hAnsi="Cambria"/>
          <w:sz w:val="36"/>
          <w:szCs w:val="36"/>
        </w:rPr>
      </w:pPr>
      <w:r>
        <w:rPr>
          <w:rFonts w:ascii="Times New Roman" w:hAnsi="Times New Roman"/>
          <w:sz w:val="36"/>
          <w:szCs w:val="36"/>
        </w:rPr>
        <w:t>COMUNE DI ROBBIO</w:t>
      </w:r>
    </w:p>
    <w:p w14:paraId="510F4D72" w14:textId="77777777" w:rsidR="0009270F" w:rsidRDefault="0009270F">
      <w:pPr>
        <w:spacing w:after="0" w:line="240" w:lineRule="auto"/>
        <w:jc w:val="center"/>
        <w:rPr>
          <w:rFonts w:ascii="Cambria" w:hAnsi="Cambria"/>
          <w:sz w:val="36"/>
          <w:szCs w:val="36"/>
        </w:rPr>
      </w:pPr>
    </w:p>
    <w:p w14:paraId="531AF7EA" w14:textId="77777777" w:rsidR="0009270F" w:rsidRDefault="00E3567C">
      <w:pPr>
        <w:spacing w:after="0" w:line="240" w:lineRule="auto"/>
        <w:jc w:val="center"/>
        <w:rPr>
          <w:rFonts w:ascii="Cambria" w:hAnsi="Cambria"/>
          <w:sz w:val="36"/>
          <w:szCs w:val="36"/>
        </w:rPr>
      </w:pPr>
      <w:r>
        <w:rPr>
          <w:rFonts w:ascii="Times New Roman" w:hAnsi="Times New Roman"/>
          <w:sz w:val="36"/>
          <w:szCs w:val="36"/>
        </w:rPr>
        <w:t>PROVINCIA DI PAVIA</w:t>
      </w:r>
    </w:p>
    <w:p w14:paraId="4CA59C41" w14:textId="77777777" w:rsidR="0009270F" w:rsidRDefault="0009270F">
      <w:pPr>
        <w:spacing w:after="0" w:line="240" w:lineRule="auto"/>
        <w:jc w:val="center"/>
        <w:rPr>
          <w:rFonts w:ascii="Cambria" w:hAnsi="Cambria"/>
          <w:sz w:val="36"/>
          <w:szCs w:val="36"/>
        </w:rPr>
      </w:pPr>
    </w:p>
    <w:p w14:paraId="08685810" w14:textId="77777777" w:rsidR="0009270F" w:rsidRDefault="0009270F">
      <w:pPr>
        <w:spacing w:after="0" w:line="240" w:lineRule="auto"/>
        <w:jc w:val="center"/>
        <w:rPr>
          <w:rFonts w:ascii="Cambria" w:hAnsi="Cambria"/>
        </w:rPr>
      </w:pPr>
    </w:p>
    <w:p w14:paraId="26070740" w14:textId="77777777" w:rsidR="0009270F" w:rsidRDefault="0009270F">
      <w:pPr>
        <w:spacing w:after="0" w:line="240" w:lineRule="auto"/>
        <w:jc w:val="center"/>
        <w:rPr>
          <w:rFonts w:ascii="Cambria" w:hAnsi="Cambria"/>
        </w:rPr>
      </w:pPr>
    </w:p>
    <w:p w14:paraId="76ADE6E2" w14:textId="77777777" w:rsidR="0009270F" w:rsidRDefault="0009270F">
      <w:pPr>
        <w:spacing w:after="0" w:line="240" w:lineRule="auto"/>
        <w:jc w:val="center"/>
        <w:rPr>
          <w:rFonts w:ascii="Cambria" w:hAnsi="Cambria"/>
        </w:rPr>
      </w:pPr>
    </w:p>
    <w:p w14:paraId="087F54A1" w14:textId="77777777" w:rsidR="0009270F" w:rsidRDefault="0009270F">
      <w:pPr>
        <w:spacing w:after="0" w:line="240" w:lineRule="auto"/>
        <w:jc w:val="center"/>
        <w:rPr>
          <w:rFonts w:ascii="Cambria" w:hAnsi="Cambria"/>
        </w:rPr>
      </w:pPr>
    </w:p>
    <w:p w14:paraId="17DE66F4" w14:textId="77777777" w:rsidR="0009270F" w:rsidRDefault="0009270F">
      <w:pPr>
        <w:pStyle w:val="Titolo1"/>
        <w:spacing w:before="0" w:line="240" w:lineRule="auto"/>
        <w:jc w:val="center"/>
        <w:rPr>
          <w:rFonts w:ascii="Cambria" w:hAnsi="Cambria"/>
          <w:color w:val="auto"/>
          <w:sz w:val="22"/>
          <w:szCs w:val="22"/>
        </w:rPr>
      </w:pPr>
    </w:p>
    <w:p w14:paraId="4A205689" w14:textId="77777777" w:rsidR="0009270F" w:rsidRDefault="0009270F">
      <w:pPr>
        <w:spacing w:after="0" w:line="240" w:lineRule="auto"/>
        <w:jc w:val="center"/>
        <w:rPr>
          <w:rFonts w:ascii="Cambria" w:hAnsi="Cambria"/>
        </w:rPr>
      </w:pPr>
    </w:p>
    <w:p w14:paraId="55A4B2F0" w14:textId="77777777" w:rsidR="0009270F" w:rsidRDefault="0009270F">
      <w:pPr>
        <w:spacing w:after="0" w:line="240" w:lineRule="auto"/>
        <w:jc w:val="center"/>
        <w:rPr>
          <w:rFonts w:ascii="Cambria" w:hAnsi="Cambria"/>
        </w:rPr>
      </w:pPr>
    </w:p>
    <w:p w14:paraId="2A7193FB" w14:textId="77777777" w:rsidR="0009270F" w:rsidRDefault="00E3567C">
      <w:pPr>
        <w:pStyle w:val="Titolo1"/>
        <w:spacing w:before="0" w:line="240" w:lineRule="auto"/>
        <w:jc w:val="center"/>
        <w:rPr>
          <w:rFonts w:ascii="Cambria" w:eastAsia="Calibri" w:hAnsi="Cambria" w:cs="Times New Roman"/>
          <w:b/>
          <w:color w:val="9A0000"/>
          <w:w w:val="120"/>
          <w:sz w:val="48"/>
          <w:szCs w:val="48"/>
        </w:rPr>
      </w:pPr>
      <w:r>
        <w:rPr>
          <w:rFonts w:ascii="Times New Roman" w:eastAsia="Calibri" w:hAnsi="Times New Roman" w:cs="Times New Roman"/>
          <w:b/>
          <w:color w:val="9A0000"/>
          <w:w w:val="120"/>
          <w:sz w:val="48"/>
          <w:szCs w:val="48"/>
        </w:rPr>
        <w:t>METODOLOGIA DI PESATURA</w:t>
      </w:r>
    </w:p>
    <w:p w14:paraId="6246C226" w14:textId="77777777" w:rsidR="0009270F" w:rsidRDefault="00E3567C">
      <w:pPr>
        <w:pStyle w:val="Titolo1"/>
        <w:spacing w:before="0" w:line="240" w:lineRule="auto"/>
        <w:jc w:val="center"/>
        <w:rPr>
          <w:rFonts w:ascii="Cambria" w:eastAsia="Calibri" w:hAnsi="Cambria" w:cs="Times New Roman"/>
          <w:b/>
          <w:color w:val="9A0000"/>
          <w:w w:val="120"/>
          <w:sz w:val="48"/>
          <w:szCs w:val="48"/>
        </w:rPr>
      </w:pPr>
      <w:r>
        <w:rPr>
          <w:rFonts w:ascii="Times New Roman" w:eastAsia="Calibri" w:hAnsi="Times New Roman" w:cs="Times New Roman"/>
          <w:b/>
          <w:color w:val="9A0000"/>
          <w:w w:val="120"/>
          <w:sz w:val="48"/>
          <w:szCs w:val="48"/>
        </w:rPr>
        <w:t>E GRADUAZIONE DELLE</w:t>
      </w:r>
    </w:p>
    <w:p w14:paraId="4F930DF6" w14:textId="77777777" w:rsidR="0009270F" w:rsidRDefault="00E3567C">
      <w:pPr>
        <w:pStyle w:val="Titolo1"/>
        <w:spacing w:before="0" w:line="240" w:lineRule="auto"/>
        <w:jc w:val="center"/>
        <w:rPr>
          <w:rFonts w:ascii="Cambria" w:eastAsia="Calibri" w:hAnsi="Cambria" w:cs="Times New Roman"/>
          <w:b/>
          <w:color w:val="9A0000"/>
          <w:w w:val="120"/>
          <w:sz w:val="40"/>
          <w:szCs w:val="40"/>
        </w:rPr>
      </w:pPr>
      <w:r>
        <w:rPr>
          <w:rFonts w:ascii="Times New Roman" w:eastAsia="Calibri" w:hAnsi="Times New Roman" w:cs="Times New Roman"/>
          <w:b/>
          <w:color w:val="9A0000"/>
          <w:w w:val="120"/>
          <w:sz w:val="48"/>
          <w:szCs w:val="48"/>
        </w:rPr>
        <w:t>POSIZIONI OGGETTO DI INCARICHI DI ELEVATA QUALIFICAZIONE</w:t>
      </w:r>
    </w:p>
    <w:p w14:paraId="578B6E42" w14:textId="77777777" w:rsidR="0009270F" w:rsidRDefault="0009270F">
      <w:pPr>
        <w:spacing w:after="0" w:line="240" w:lineRule="auto"/>
        <w:jc w:val="center"/>
        <w:rPr>
          <w:rFonts w:ascii="Cambria" w:eastAsia="Calibri" w:hAnsi="Cambria" w:cs="Times New Roman"/>
          <w:b/>
          <w:color w:val="9A0000"/>
          <w:w w:val="120"/>
          <w:sz w:val="40"/>
          <w:szCs w:val="40"/>
        </w:rPr>
      </w:pPr>
    </w:p>
    <w:p w14:paraId="1B11B64A" w14:textId="77777777" w:rsidR="0009270F" w:rsidRDefault="0009270F">
      <w:pPr>
        <w:spacing w:after="0" w:line="240" w:lineRule="auto"/>
        <w:jc w:val="center"/>
        <w:rPr>
          <w:rFonts w:ascii="Cambria" w:eastAsia="Calibri" w:hAnsi="Cambria" w:cs="Times New Roman"/>
          <w:b/>
          <w:color w:val="9A0000"/>
          <w:w w:val="120"/>
          <w:sz w:val="40"/>
          <w:szCs w:val="40"/>
        </w:rPr>
      </w:pPr>
    </w:p>
    <w:p w14:paraId="118B0655" w14:textId="77777777" w:rsidR="0009270F" w:rsidRDefault="0009270F">
      <w:pPr>
        <w:spacing w:after="0" w:line="240" w:lineRule="auto"/>
        <w:jc w:val="center"/>
        <w:rPr>
          <w:rFonts w:ascii="Cambria" w:eastAsia="Calibri" w:hAnsi="Cambria" w:cs="Times New Roman"/>
          <w:b/>
          <w:color w:val="9A0000"/>
          <w:w w:val="120"/>
          <w:sz w:val="40"/>
          <w:szCs w:val="40"/>
        </w:rPr>
      </w:pPr>
    </w:p>
    <w:p w14:paraId="1D7EAF5E" w14:textId="77777777" w:rsidR="0009270F" w:rsidRDefault="0009270F">
      <w:pPr>
        <w:jc w:val="center"/>
        <w:rPr>
          <w:rFonts w:ascii="Cambria" w:eastAsia="Calibri" w:hAnsi="Cambria" w:cs="Times New Roman"/>
          <w:b/>
          <w:color w:val="9A0000"/>
          <w:w w:val="120"/>
          <w:sz w:val="40"/>
          <w:szCs w:val="40"/>
        </w:rPr>
      </w:pPr>
    </w:p>
    <w:p w14:paraId="201A5D60" w14:textId="77777777" w:rsidR="0009270F" w:rsidRDefault="0009270F">
      <w:pPr>
        <w:spacing w:after="0" w:line="240" w:lineRule="auto"/>
        <w:jc w:val="center"/>
        <w:rPr>
          <w:rFonts w:ascii="Cambria" w:eastAsia="Calibri" w:hAnsi="Cambria" w:cs="Times New Roman"/>
          <w:b/>
          <w:color w:val="9A0000"/>
          <w:w w:val="120"/>
          <w:sz w:val="40"/>
          <w:szCs w:val="40"/>
        </w:rPr>
      </w:pPr>
    </w:p>
    <w:p w14:paraId="2E7CF681" w14:textId="77777777" w:rsidR="0009270F" w:rsidRDefault="0009270F">
      <w:pPr>
        <w:spacing w:after="0" w:line="240" w:lineRule="auto"/>
        <w:jc w:val="center"/>
        <w:rPr>
          <w:rFonts w:ascii="Cambria" w:hAnsi="Cambria"/>
        </w:rPr>
      </w:pPr>
    </w:p>
    <w:p w14:paraId="0B098969" w14:textId="77777777" w:rsidR="0009270F" w:rsidRDefault="0009270F">
      <w:pPr>
        <w:spacing w:after="0" w:line="240" w:lineRule="auto"/>
        <w:jc w:val="center"/>
        <w:rPr>
          <w:rFonts w:ascii="Cambria" w:hAnsi="Cambria"/>
        </w:rPr>
      </w:pPr>
    </w:p>
    <w:p w14:paraId="07E92CC2" w14:textId="77777777" w:rsidR="0009270F" w:rsidRDefault="0009270F">
      <w:pPr>
        <w:spacing w:after="0" w:line="240" w:lineRule="auto"/>
        <w:jc w:val="center"/>
        <w:rPr>
          <w:rFonts w:ascii="Cambria" w:hAnsi="Cambria"/>
        </w:rPr>
      </w:pPr>
    </w:p>
    <w:p w14:paraId="1766B704" w14:textId="77777777" w:rsidR="0009270F" w:rsidRDefault="0009270F">
      <w:pPr>
        <w:spacing w:after="0" w:line="240" w:lineRule="auto"/>
        <w:jc w:val="center"/>
        <w:rPr>
          <w:rFonts w:ascii="Cambria" w:hAnsi="Cambria"/>
        </w:rPr>
      </w:pPr>
    </w:p>
    <w:p w14:paraId="5A87D231" w14:textId="77777777" w:rsidR="0009270F" w:rsidRDefault="0009270F">
      <w:pPr>
        <w:spacing w:after="0" w:line="240" w:lineRule="auto"/>
        <w:jc w:val="center"/>
        <w:rPr>
          <w:rFonts w:ascii="Cambria" w:hAnsi="Cambria"/>
        </w:rPr>
      </w:pPr>
    </w:p>
    <w:p w14:paraId="2797956B" w14:textId="77777777" w:rsidR="0009270F" w:rsidRDefault="0009270F">
      <w:pPr>
        <w:spacing w:after="0" w:line="240" w:lineRule="auto"/>
        <w:jc w:val="center"/>
        <w:rPr>
          <w:rFonts w:ascii="Cambria" w:hAnsi="Cambria"/>
        </w:rPr>
      </w:pPr>
    </w:p>
    <w:p w14:paraId="7D4BE7C2" w14:textId="77777777" w:rsidR="0009270F" w:rsidRDefault="0009270F">
      <w:pPr>
        <w:spacing w:after="0" w:line="240" w:lineRule="auto"/>
        <w:jc w:val="center"/>
        <w:rPr>
          <w:rFonts w:ascii="Cambria" w:hAnsi="Cambria"/>
        </w:rPr>
      </w:pPr>
    </w:p>
    <w:p w14:paraId="6406FF07" w14:textId="77777777" w:rsidR="0009270F" w:rsidRDefault="0009270F">
      <w:pPr>
        <w:spacing w:after="0" w:line="240" w:lineRule="auto"/>
        <w:jc w:val="center"/>
        <w:rPr>
          <w:rFonts w:ascii="Cambria" w:hAnsi="Cambria"/>
        </w:rPr>
      </w:pPr>
    </w:p>
    <w:p w14:paraId="7B728BA0" w14:textId="77777777" w:rsidR="0009270F" w:rsidRDefault="0009270F">
      <w:pPr>
        <w:spacing w:after="0" w:line="240" w:lineRule="auto"/>
        <w:jc w:val="center"/>
        <w:rPr>
          <w:rFonts w:ascii="Cambria" w:hAnsi="Cambria"/>
        </w:rPr>
      </w:pPr>
    </w:p>
    <w:p w14:paraId="74638264" w14:textId="77777777" w:rsidR="0009270F" w:rsidRDefault="0009270F">
      <w:pPr>
        <w:spacing w:after="0" w:line="240" w:lineRule="auto"/>
        <w:jc w:val="center"/>
        <w:rPr>
          <w:rFonts w:ascii="Cambria" w:hAnsi="Cambria"/>
        </w:rPr>
      </w:pPr>
    </w:p>
    <w:p w14:paraId="79B87D9B" w14:textId="77777777" w:rsidR="00E3567C" w:rsidRPr="00E3567C" w:rsidRDefault="00E3567C" w:rsidP="00E3567C">
      <w:pPr>
        <w:rPr>
          <w:rFonts w:ascii="Cambria" w:hAnsi="Cambria"/>
        </w:rPr>
      </w:pPr>
    </w:p>
    <w:p w14:paraId="62225DA9" w14:textId="77777777" w:rsidR="00E3567C" w:rsidRDefault="00E3567C" w:rsidP="00E3567C">
      <w:pPr>
        <w:rPr>
          <w:rFonts w:ascii="Cambria" w:hAnsi="Cambria"/>
        </w:rPr>
      </w:pPr>
    </w:p>
    <w:p w14:paraId="74F7E2EB" w14:textId="37C3E9D9" w:rsidR="00E3567C" w:rsidRPr="00E3567C" w:rsidRDefault="00E3567C" w:rsidP="00E3567C">
      <w:pPr>
        <w:jc w:val="center"/>
        <w:rPr>
          <w:rFonts w:ascii="Cambria" w:hAnsi="Cambria"/>
          <w:b/>
          <w:bCs/>
        </w:rPr>
      </w:pPr>
      <w:r w:rsidRPr="00E3567C">
        <w:rPr>
          <w:rFonts w:ascii="Cambria" w:hAnsi="Cambria"/>
          <w:b/>
          <w:bCs/>
        </w:rPr>
        <w:t>Approvato con deliberazione di Giunta Comunale n. 81 del 15.06.2023</w:t>
      </w:r>
    </w:p>
    <w:tbl>
      <w:tblPr>
        <w:tblStyle w:val="Grigliatabella"/>
        <w:tblW w:w="8035" w:type="dxa"/>
        <w:jc w:val="center"/>
        <w:tblCellMar>
          <w:top w:w="142" w:type="dxa"/>
          <w:left w:w="340" w:type="dxa"/>
          <w:bottom w:w="142" w:type="dxa"/>
          <w:right w:w="340" w:type="dxa"/>
        </w:tblCellMar>
        <w:tblLook w:val="04A0" w:firstRow="1" w:lastRow="0" w:firstColumn="1" w:lastColumn="0" w:noHBand="0" w:noVBand="1"/>
      </w:tblPr>
      <w:tblGrid>
        <w:gridCol w:w="8035"/>
      </w:tblGrid>
      <w:tr w:rsidR="0009270F" w14:paraId="64BE9F70" w14:textId="77777777">
        <w:trPr>
          <w:jc w:val="center"/>
        </w:trPr>
        <w:tc>
          <w:tcPr>
            <w:tcW w:w="8035" w:type="dxa"/>
          </w:tcPr>
          <w:p w14:paraId="288E2D8A" w14:textId="77777777" w:rsidR="0009270F" w:rsidRDefault="00E3567C">
            <w:pPr>
              <w:pStyle w:val="Titolo1"/>
              <w:spacing w:before="0" w:line="240" w:lineRule="auto"/>
              <w:jc w:val="center"/>
              <w:rPr>
                <w:rFonts w:ascii="Cambria" w:hAnsi="Cambria"/>
                <w:b/>
                <w:color w:val="990000"/>
                <w:sz w:val="30"/>
                <w:szCs w:val="30"/>
              </w:rPr>
            </w:pPr>
            <w:r>
              <w:rPr>
                <w:rFonts w:ascii="Times New Roman" w:hAnsi="Times New Roman"/>
                <w:b/>
                <w:color w:val="990000"/>
                <w:sz w:val="30"/>
                <w:szCs w:val="30"/>
              </w:rPr>
              <w:lastRenderedPageBreak/>
              <w:t>Sommario</w:t>
            </w:r>
          </w:p>
          <w:p w14:paraId="7175E0AB" w14:textId="77777777" w:rsidR="0009270F" w:rsidRDefault="00E3567C">
            <w:pPr>
              <w:pStyle w:val="Titolo1"/>
              <w:numPr>
                <w:ilvl w:val="0"/>
                <w:numId w:val="1"/>
              </w:numPr>
              <w:spacing w:before="120" w:line="240" w:lineRule="auto"/>
              <w:ind w:left="284" w:hanging="284"/>
              <w:jc w:val="both"/>
              <w:rPr>
                <w:rFonts w:ascii="Cambria" w:hAnsi="Cambria"/>
                <w:b/>
                <w:color w:val="auto"/>
                <w:sz w:val="24"/>
                <w:szCs w:val="24"/>
              </w:rPr>
            </w:pPr>
            <w:r>
              <w:rPr>
                <w:rFonts w:ascii="Times New Roman" w:hAnsi="Times New Roman"/>
                <w:b/>
                <w:color w:val="auto"/>
                <w:sz w:val="24"/>
                <w:szCs w:val="24"/>
              </w:rPr>
              <w:t>Premessa</w:t>
            </w:r>
          </w:p>
          <w:p w14:paraId="523902A5" w14:textId="77777777" w:rsidR="0009270F" w:rsidRDefault="00E3567C">
            <w:pPr>
              <w:pStyle w:val="Titolo1"/>
              <w:numPr>
                <w:ilvl w:val="0"/>
                <w:numId w:val="1"/>
              </w:numPr>
              <w:spacing w:before="120" w:line="240" w:lineRule="auto"/>
              <w:ind w:left="284" w:hanging="284"/>
              <w:jc w:val="both"/>
              <w:rPr>
                <w:rFonts w:ascii="Cambria" w:hAnsi="Cambria"/>
                <w:b/>
                <w:color w:val="auto"/>
                <w:sz w:val="24"/>
                <w:szCs w:val="24"/>
              </w:rPr>
            </w:pPr>
            <w:r>
              <w:rPr>
                <w:rFonts w:ascii="Times New Roman" w:hAnsi="Times New Roman"/>
                <w:b/>
                <w:color w:val="auto"/>
                <w:sz w:val="24"/>
                <w:szCs w:val="24"/>
              </w:rPr>
              <w:t>I fattori di valutazione delle posizioni oggetto di incarichi di EQ</w:t>
            </w:r>
            <w:r>
              <w:rPr>
                <w:rFonts w:ascii="Times New Roman" w:hAnsi="Times New Roman"/>
                <w:b/>
                <w:color w:val="auto"/>
                <w:sz w:val="24"/>
                <w:szCs w:val="24"/>
              </w:rPr>
              <w:tab/>
            </w:r>
          </w:p>
          <w:p w14:paraId="70275DF6" w14:textId="77777777" w:rsidR="0009270F" w:rsidRDefault="00E3567C">
            <w:pPr>
              <w:pStyle w:val="Titolo1"/>
              <w:numPr>
                <w:ilvl w:val="0"/>
                <w:numId w:val="1"/>
              </w:numPr>
              <w:spacing w:before="120" w:line="240" w:lineRule="auto"/>
              <w:ind w:left="284" w:hanging="284"/>
              <w:jc w:val="both"/>
              <w:rPr>
                <w:rFonts w:ascii="Cambria" w:hAnsi="Cambria"/>
                <w:b/>
                <w:color w:val="auto"/>
                <w:sz w:val="24"/>
                <w:szCs w:val="24"/>
              </w:rPr>
            </w:pPr>
            <w:r>
              <w:rPr>
                <w:rFonts w:ascii="Times New Roman" w:hAnsi="Times New Roman"/>
                <w:b/>
                <w:color w:val="auto"/>
                <w:sz w:val="24"/>
                <w:szCs w:val="24"/>
              </w:rPr>
              <w:t>Scheda di pesatura e graduazione delle posizioni e attuazione del sistema</w:t>
            </w:r>
          </w:p>
          <w:p w14:paraId="314CA765" w14:textId="77777777" w:rsidR="0009270F" w:rsidRDefault="00E3567C">
            <w:pPr>
              <w:pStyle w:val="Titolo1"/>
              <w:numPr>
                <w:ilvl w:val="0"/>
                <w:numId w:val="1"/>
              </w:numPr>
              <w:spacing w:before="120" w:line="240" w:lineRule="auto"/>
              <w:ind w:left="284" w:hanging="284"/>
              <w:jc w:val="both"/>
              <w:rPr>
                <w:rFonts w:ascii="Cambria" w:hAnsi="Cambria"/>
                <w:b/>
                <w:color w:val="auto"/>
                <w:sz w:val="24"/>
                <w:szCs w:val="24"/>
              </w:rPr>
            </w:pPr>
            <w:r>
              <w:rPr>
                <w:rFonts w:ascii="Times New Roman" w:hAnsi="Times New Roman"/>
                <w:b/>
                <w:color w:val="auto"/>
                <w:sz w:val="24"/>
                <w:szCs w:val="24"/>
              </w:rPr>
              <w:t>Il raccordo tra pesatura e valore economico della relativa retribuzione di posizione</w:t>
            </w:r>
          </w:p>
        </w:tc>
      </w:tr>
    </w:tbl>
    <w:p w14:paraId="7FF76C0B" w14:textId="77777777" w:rsidR="0009270F" w:rsidRDefault="0009270F">
      <w:pPr>
        <w:spacing w:after="0" w:line="240" w:lineRule="auto"/>
        <w:jc w:val="center"/>
        <w:rPr>
          <w:rFonts w:ascii="Cambria" w:hAnsi="Cambria"/>
        </w:rPr>
      </w:pPr>
    </w:p>
    <w:p w14:paraId="51F8D276" w14:textId="77777777" w:rsidR="0009270F" w:rsidRDefault="00E3567C">
      <w:pPr>
        <w:pStyle w:val="Titolo1"/>
        <w:keepLines w:val="0"/>
        <w:tabs>
          <w:tab w:val="left" w:pos="785"/>
        </w:tabs>
        <w:spacing w:before="0" w:line="240" w:lineRule="auto"/>
        <w:jc w:val="both"/>
        <w:rPr>
          <w:rFonts w:ascii="Cambria" w:hAnsi="Cambria"/>
          <w:b/>
          <w:color w:val="C00000"/>
          <w:sz w:val="26"/>
          <w:szCs w:val="26"/>
        </w:rPr>
      </w:pPr>
      <w:bookmarkStart w:id="0" w:name="_Toc273017949"/>
      <w:bookmarkStart w:id="1" w:name="_Toc411839786"/>
      <w:bookmarkStart w:id="2" w:name="_Toc280828042"/>
      <w:bookmarkStart w:id="3" w:name="_Toc279482632"/>
      <w:bookmarkStart w:id="4" w:name="_Toc279338292"/>
      <w:bookmarkStart w:id="5" w:name="_Toc425760351"/>
      <w:bookmarkEnd w:id="0"/>
      <w:bookmarkEnd w:id="1"/>
      <w:r>
        <w:rPr>
          <w:rFonts w:ascii="Times New Roman" w:hAnsi="Times New Roman"/>
          <w:b/>
          <w:color w:val="C00000"/>
          <w:sz w:val="24"/>
          <w:szCs w:val="24"/>
        </w:rPr>
        <w:t>1. P</w:t>
      </w:r>
      <w:bookmarkEnd w:id="2"/>
      <w:bookmarkEnd w:id="3"/>
      <w:bookmarkEnd w:id="4"/>
      <w:r>
        <w:rPr>
          <w:rFonts w:ascii="Times New Roman" w:hAnsi="Times New Roman"/>
          <w:b/>
          <w:color w:val="C00000"/>
          <w:sz w:val="24"/>
          <w:szCs w:val="24"/>
        </w:rPr>
        <w:t>remessa</w:t>
      </w:r>
      <w:bookmarkEnd w:id="5"/>
    </w:p>
    <w:p w14:paraId="51AEEB6F" w14:textId="77777777" w:rsidR="0009270F" w:rsidRDefault="00E3567C">
      <w:pPr>
        <w:spacing w:before="60" w:after="0" w:line="240" w:lineRule="auto"/>
        <w:jc w:val="both"/>
        <w:rPr>
          <w:rFonts w:ascii="Cambria" w:hAnsi="Cambria"/>
        </w:rPr>
      </w:pPr>
      <w:r>
        <w:rPr>
          <w:rFonts w:ascii="Times New Roman" w:hAnsi="Times New Roman"/>
          <w:sz w:val="24"/>
          <w:szCs w:val="24"/>
        </w:rPr>
        <w:t xml:space="preserve">A </w:t>
      </w:r>
      <w:r>
        <w:rPr>
          <w:rFonts w:ascii="Times New Roman" w:hAnsi="Times New Roman"/>
          <w:sz w:val="24"/>
          <w:szCs w:val="24"/>
        </w:rPr>
        <w:t>seguito della sottoscrizione definitiva del CCNL del 16.11.2022 e per effetto di quanto previsto in ordine all’entrata in vigore del suo Titolo III – Ordinamento professionale, stabilita nel 1° giorno del quinto mese successivo alla predetta sottoscrizione</w:t>
      </w:r>
      <w:r>
        <w:rPr>
          <w:rFonts w:ascii="Times New Roman" w:hAnsi="Times New Roman"/>
          <w:sz w:val="24"/>
          <w:szCs w:val="24"/>
        </w:rPr>
        <w:t xml:space="preserve"> definitiva (1° aprile 2023), risulta necessario un intervento di adeguamento della metodologia relativa alla pesatura e graduazione delle posizioni organizzative istituite dall’Ente, che, ai sensi della disciplina introdotta dal predetto contratto sono, i</w:t>
      </w:r>
      <w:r>
        <w:rPr>
          <w:rFonts w:ascii="Times New Roman" w:hAnsi="Times New Roman"/>
          <w:sz w:val="24"/>
          <w:szCs w:val="24"/>
        </w:rPr>
        <w:t xml:space="preserve">n prima applicazione, automaticamente ricondotte alla nuova tipologia di incarichi di EQ (trattasi, esclusivamente, di posizioni di responsabilità di direzione di unità organizzative di particolare complessità, caratterizzate da elevato grado di autonomia </w:t>
      </w:r>
      <w:r>
        <w:rPr>
          <w:rFonts w:ascii="Times New Roman" w:hAnsi="Times New Roman"/>
          <w:sz w:val="24"/>
          <w:szCs w:val="24"/>
        </w:rPr>
        <w:t>gestionale e organizzativa, di cui all’articolo 16, comma 2, lettera a) del citato CCNL del 16.11.2022</w:t>
      </w:r>
      <w:r>
        <w:rPr>
          <w:rStyle w:val="Richiamoallanotaapidipagina"/>
          <w:rFonts w:ascii="Times New Roman" w:hAnsi="Times New Roman"/>
          <w:sz w:val="24"/>
          <w:szCs w:val="24"/>
          <w:lang w:eastAsia="it-IT"/>
        </w:rPr>
        <w:footnoteReference w:id="1"/>
      </w:r>
      <w:r>
        <w:rPr>
          <w:rFonts w:ascii="Times New Roman" w:hAnsi="Times New Roman"/>
          <w:sz w:val="24"/>
          <w:szCs w:val="24"/>
        </w:rPr>
        <w:t xml:space="preserve">). </w:t>
      </w:r>
    </w:p>
    <w:p w14:paraId="3E8AD0C0" w14:textId="77777777" w:rsidR="0009270F" w:rsidRDefault="00E3567C">
      <w:pPr>
        <w:spacing w:after="120"/>
        <w:ind w:firstLine="360"/>
        <w:jc w:val="both"/>
        <w:rPr>
          <w:rFonts w:ascii="Cambria" w:hAnsi="Cambria"/>
        </w:rPr>
      </w:pPr>
      <w:r>
        <w:rPr>
          <w:rFonts w:ascii="Times New Roman" w:hAnsi="Times New Roman"/>
          <w:sz w:val="24"/>
          <w:szCs w:val="24"/>
        </w:rPr>
        <w:t xml:space="preserve">Considerata la continuità rispetto alla preesistente disciplina, si conferma l’applicazione di un sistema di pesatura e graduazione che presupponga </w:t>
      </w:r>
      <w:r>
        <w:rPr>
          <w:rFonts w:ascii="Times New Roman" w:hAnsi="Times New Roman"/>
          <w:sz w:val="24"/>
          <w:szCs w:val="24"/>
        </w:rPr>
        <w:t>un confronto analitico e sistematico tra le caratteristiche di ciascuna posizione oggetto di incarico di EQ, dal quale discenda l’assegnazione di un punteggio numerico che ne definisca il valore in relazione alle altre posizioni (graduatoria), nel rispetto</w:t>
      </w:r>
      <w:r>
        <w:rPr>
          <w:rFonts w:ascii="Times New Roman" w:hAnsi="Times New Roman"/>
          <w:sz w:val="24"/>
          <w:szCs w:val="24"/>
        </w:rPr>
        <w:t xml:space="preserve"> della specifica disciplina introdotta dal succitato CCNL del 16.11.2022.</w:t>
      </w:r>
    </w:p>
    <w:p w14:paraId="6E771DE7" w14:textId="77777777" w:rsidR="0009270F" w:rsidRDefault="00E3567C">
      <w:pPr>
        <w:jc w:val="both"/>
        <w:rPr>
          <w:rFonts w:ascii="Cambria" w:hAnsi="Cambria"/>
        </w:rPr>
      </w:pPr>
      <w:r>
        <w:rPr>
          <w:rFonts w:ascii="Times New Roman" w:hAnsi="Times New Roman"/>
          <w:sz w:val="24"/>
          <w:szCs w:val="24"/>
        </w:rPr>
        <w:t xml:space="preserve">Pertanto, la pesatura e graduazione delle posizioni oggetto di incarichi di EQ viene effettuata attraverso l’apprezzamento comparativo di specifici fattori di valutazione, descritti </w:t>
      </w:r>
      <w:r>
        <w:rPr>
          <w:rFonts w:ascii="Times New Roman" w:hAnsi="Times New Roman"/>
          <w:sz w:val="24"/>
          <w:szCs w:val="24"/>
        </w:rPr>
        <w:t>nei paragrafi successivi.</w:t>
      </w:r>
    </w:p>
    <w:p w14:paraId="6AC3240C" w14:textId="77777777" w:rsidR="0009270F" w:rsidRDefault="0009270F">
      <w:pPr>
        <w:spacing w:before="60" w:after="0" w:line="240" w:lineRule="auto"/>
        <w:jc w:val="both"/>
        <w:rPr>
          <w:rFonts w:ascii="Cambria" w:hAnsi="Cambria"/>
        </w:rPr>
      </w:pPr>
    </w:p>
    <w:p w14:paraId="5B4AC762" w14:textId="77777777" w:rsidR="0009270F" w:rsidRDefault="00E3567C">
      <w:pPr>
        <w:pStyle w:val="Titolo1"/>
        <w:keepLines w:val="0"/>
        <w:spacing w:before="0" w:line="240" w:lineRule="auto"/>
        <w:jc w:val="both"/>
        <w:rPr>
          <w:rFonts w:ascii="Cambria" w:hAnsi="Cambria"/>
          <w:b/>
          <w:color w:val="C00000"/>
          <w:sz w:val="26"/>
          <w:szCs w:val="26"/>
        </w:rPr>
      </w:pPr>
      <w:bookmarkStart w:id="6" w:name="_Toc2730179491"/>
      <w:bookmarkStart w:id="7" w:name="_Toc425760352"/>
      <w:bookmarkEnd w:id="6"/>
      <w:r>
        <w:rPr>
          <w:rFonts w:ascii="Times New Roman" w:hAnsi="Times New Roman"/>
          <w:b/>
          <w:color w:val="C00000"/>
          <w:sz w:val="24"/>
          <w:szCs w:val="24"/>
        </w:rPr>
        <w:t xml:space="preserve">2. I fattori di valutazione delle posizioni </w:t>
      </w:r>
      <w:bookmarkEnd w:id="7"/>
      <w:r>
        <w:rPr>
          <w:rFonts w:ascii="Times New Roman" w:hAnsi="Times New Roman"/>
          <w:b/>
          <w:color w:val="C00000"/>
          <w:sz w:val="24"/>
          <w:szCs w:val="24"/>
        </w:rPr>
        <w:t>oggetto di incarichi di EQ</w:t>
      </w:r>
    </w:p>
    <w:p w14:paraId="5ECFF170" w14:textId="77777777" w:rsidR="0009270F" w:rsidRDefault="00E3567C">
      <w:pPr>
        <w:spacing w:before="60" w:after="0" w:line="240" w:lineRule="auto"/>
        <w:jc w:val="both"/>
        <w:rPr>
          <w:rFonts w:ascii="Cambria" w:hAnsi="Cambria"/>
        </w:rPr>
      </w:pPr>
      <w:r>
        <w:rPr>
          <w:rFonts w:ascii="Times New Roman" w:hAnsi="Times New Roman"/>
          <w:sz w:val="24"/>
          <w:szCs w:val="24"/>
        </w:rPr>
        <w:t>Per quanto detto in premessa, la metodologia di pesatura e graduazione delle posizioni oggettto di incarichi di EQ, si articola sui seguenti quattro fattori d</w:t>
      </w:r>
      <w:r>
        <w:rPr>
          <w:rFonts w:ascii="Times New Roman" w:hAnsi="Times New Roman"/>
          <w:sz w:val="24"/>
          <w:szCs w:val="24"/>
        </w:rPr>
        <w:t>i valutazione:</w:t>
      </w:r>
    </w:p>
    <w:p w14:paraId="6A6E32AC" w14:textId="77777777" w:rsidR="0009270F" w:rsidRDefault="00E3567C">
      <w:pPr>
        <w:pStyle w:val="Paragrafoelenco"/>
        <w:numPr>
          <w:ilvl w:val="0"/>
          <w:numId w:val="2"/>
        </w:numPr>
        <w:spacing w:before="40" w:after="0" w:line="240" w:lineRule="auto"/>
        <w:ind w:left="284" w:hanging="284"/>
        <w:jc w:val="both"/>
        <w:rPr>
          <w:rFonts w:ascii="Cambria" w:hAnsi="Cambria"/>
        </w:rPr>
      </w:pPr>
      <w:r>
        <w:rPr>
          <w:rFonts w:ascii="Times New Roman" w:hAnsi="Times New Roman"/>
          <w:b/>
          <w:sz w:val="24"/>
          <w:szCs w:val="24"/>
        </w:rPr>
        <w:t>Complessità e dimensione dei compiti affidati</w:t>
      </w:r>
      <w:r>
        <w:rPr>
          <w:rFonts w:ascii="Times New Roman" w:hAnsi="Times New Roman"/>
          <w:sz w:val="24"/>
          <w:szCs w:val="24"/>
        </w:rPr>
        <w:t>, attraverso il quale si misura la consistenza quali-quantitativa e il grado di eterogeneità dei compiti e delle responsabilità affidate alla posizione, rilevabile dalle specifiche attribuzioni po</w:t>
      </w:r>
      <w:r>
        <w:rPr>
          <w:rFonts w:ascii="Times New Roman" w:hAnsi="Times New Roman"/>
          <w:sz w:val="24"/>
          <w:szCs w:val="24"/>
        </w:rPr>
        <w:t xml:space="preserve">ste in capo alla posizione stessa, in reazione al complesso delle funzioni e dei servizi fondamentali dell’Ente. In questo modo è possibile apprezzare l’eventuale disomogeneità di concentrazione di compiti e funzioni tra le diverse posizioni. La rilevanza </w:t>
      </w:r>
      <w:r>
        <w:rPr>
          <w:rFonts w:ascii="Times New Roman" w:hAnsi="Times New Roman"/>
          <w:sz w:val="24"/>
          <w:szCs w:val="24"/>
        </w:rPr>
        <w:t>del fattore, ne impone un peso ponderale (rilevanza del fattore rispetto al complesso del sistema), pari a 5/16;</w:t>
      </w:r>
    </w:p>
    <w:p w14:paraId="209ADA49" w14:textId="77777777" w:rsidR="0009270F" w:rsidRDefault="00E3567C">
      <w:pPr>
        <w:pStyle w:val="Paragrafoelenco"/>
        <w:numPr>
          <w:ilvl w:val="0"/>
          <w:numId w:val="2"/>
        </w:numPr>
        <w:spacing w:before="40" w:after="0" w:line="240" w:lineRule="auto"/>
        <w:ind w:left="284" w:hanging="284"/>
        <w:jc w:val="both"/>
        <w:rPr>
          <w:rFonts w:ascii="Cambria" w:hAnsi="Cambria"/>
        </w:rPr>
      </w:pPr>
      <w:r>
        <w:rPr>
          <w:rFonts w:ascii="Times New Roman" w:hAnsi="Times New Roman"/>
          <w:b/>
          <w:sz w:val="24"/>
          <w:szCs w:val="24"/>
        </w:rPr>
        <w:t>Consistenza delle risorse affidate</w:t>
      </w:r>
      <w:r>
        <w:rPr>
          <w:rFonts w:ascii="Times New Roman" w:hAnsi="Times New Roman"/>
          <w:sz w:val="24"/>
          <w:szCs w:val="24"/>
        </w:rPr>
        <w:t>, con la quale si apprezza la dimensione delle risorse economiche (entrata e spesa), umane e strumentali dire</w:t>
      </w:r>
      <w:r>
        <w:rPr>
          <w:rFonts w:ascii="Times New Roman" w:hAnsi="Times New Roman"/>
          <w:sz w:val="24"/>
          <w:szCs w:val="24"/>
        </w:rPr>
        <w:t>ttamente gestite dalla posizione, in relazione al complesso delle risorse di cui dispone l’Ente e in comparazione con quelle gestite dalle altre posizioni. Il carattere del fattore ne prevede, anche in questo caso, un peso ponderale pari a 5/16;</w:t>
      </w:r>
    </w:p>
    <w:p w14:paraId="6FB4E846" w14:textId="77777777" w:rsidR="0009270F" w:rsidRDefault="00E3567C">
      <w:pPr>
        <w:pStyle w:val="Paragrafoelenco"/>
        <w:numPr>
          <w:ilvl w:val="0"/>
          <w:numId w:val="2"/>
        </w:numPr>
        <w:spacing w:before="40" w:after="0" w:line="240" w:lineRule="auto"/>
        <w:ind w:left="284" w:hanging="284"/>
        <w:jc w:val="both"/>
        <w:rPr>
          <w:rFonts w:ascii="Cambria" w:hAnsi="Cambria"/>
        </w:rPr>
      </w:pPr>
      <w:r>
        <w:rPr>
          <w:rFonts w:ascii="Times New Roman" w:hAnsi="Times New Roman"/>
          <w:b/>
          <w:sz w:val="24"/>
          <w:szCs w:val="24"/>
        </w:rPr>
        <w:lastRenderedPageBreak/>
        <w:t xml:space="preserve">Rilevanza </w:t>
      </w:r>
      <w:r>
        <w:rPr>
          <w:rFonts w:ascii="Times New Roman" w:hAnsi="Times New Roman"/>
          <w:b/>
          <w:sz w:val="24"/>
          <w:szCs w:val="24"/>
        </w:rPr>
        <w:t>per l’organizzazione interna</w:t>
      </w:r>
      <w:r>
        <w:rPr>
          <w:rFonts w:ascii="Times New Roman" w:hAnsi="Times New Roman"/>
          <w:sz w:val="24"/>
          <w:szCs w:val="24"/>
        </w:rPr>
        <w:t xml:space="preserve">, che misura la consistenza e il livello di complessità delle relazioni interne. Si tratta di un fattore di valutazione che misura il quoziente della rilevanza infra organizzativa della posizione, con riguardo al grado di </w:t>
      </w:r>
      <w:r>
        <w:rPr>
          <w:rFonts w:ascii="Times New Roman" w:hAnsi="Times New Roman"/>
          <w:i/>
          <w:sz w:val="24"/>
          <w:szCs w:val="24"/>
        </w:rPr>
        <w:t>trasve</w:t>
      </w:r>
      <w:r>
        <w:rPr>
          <w:rFonts w:ascii="Times New Roman" w:hAnsi="Times New Roman"/>
          <w:i/>
          <w:sz w:val="24"/>
          <w:szCs w:val="24"/>
        </w:rPr>
        <w:t>rsalità</w:t>
      </w:r>
      <w:r>
        <w:rPr>
          <w:rFonts w:ascii="Times New Roman" w:hAnsi="Times New Roman"/>
          <w:sz w:val="24"/>
          <w:szCs w:val="24"/>
        </w:rPr>
        <w:t xml:space="preserve"> dei compiti (che qualifica prevalentemente le funzioni di </w:t>
      </w:r>
      <w:r>
        <w:rPr>
          <w:rFonts w:ascii="Times New Roman" w:hAnsi="Times New Roman"/>
          <w:i/>
          <w:sz w:val="24"/>
          <w:szCs w:val="24"/>
        </w:rPr>
        <w:t>staff</w:t>
      </w:r>
      <w:r>
        <w:rPr>
          <w:rFonts w:ascii="Times New Roman" w:hAnsi="Times New Roman"/>
          <w:sz w:val="24"/>
          <w:szCs w:val="24"/>
        </w:rPr>
        <w:t>), rispetto alle restanti posizioni. Per quanto detto, il presente fattore merita un peso ponderale pari a 3/16</w:t>
      </w:r>
    </w:p>
    <w:p w14:paraId="0A3FC9C2" w14:textId="77777777" w:rsidR="0009270F" w:rsidRDefault="00E3567C">
      <w:pPr>
        <w:pStyle w:val="Paragrafoelenco"/>
        <w:numPr>
          <w:ilvl w:val="0"/>
          <w:numId w:val="2"/>
        </w:numPr>
        <w:spacing w:before="40" w:after="0" w:line="240" w:lineRule="auto"/>
        <w:ind w:left="284" w:hanging="284"/>
        <w:jc w:val="both"/>
        <w:rPr>
          <w:rFonts w:ascii="Cambria" w:hAnsi="Cambria"/>
        </w:rPr>
      </w:pPr>
      <w:r>
        <w:rPr>
          <w:rFonts w:ascii="Times New Roman" w:hAnsi="Times New Roman"/>
          <w:b/>
          <w:sz w:val="24"/>
          <w:szCs w:val="24"/>
        </w:rPr>
        <w:t>Impatto esterno</w:t>
      </w:r>
      <w:r>
        <w:rPr>
          <w:rFonts w:ascii="Times New Roman" w:hAnsi="Times New Roman"/>
          <w:sz w:val="24"/>
          <w:szCs w:val="24"/>
        </w:rPr>
        <w:t>, che rileva l’importanza dei prodotti e dei risultati per</w:t>
      </w:r>
      <w:r>
        <w:rPr>
          <w:rFonts w:ascii="Times New Roman" w:hAnsi="Times New Roman"/>
          <w:sz w:val="24"/>
          <w:szCs w:val="24"/>
        </w:rPr>
        <w:t xml:space="preserve"> i portatori di interesse esterni, con ciò intendendo tutti i diversi soggetti fruitori dei servizi dell’Ente. Esso, pertanto, consente di apprezzare il quoziente di rilevanza esterna della posizione (che, a differenza del fattore precedente, qualifica pre</w:t>
      </w:r>
      <w:r>
        <w:rPr>
          <w:rFonts w:ascii="Times New Roman" w:hAnsi="Times New Roman"/>
          <w:sz w:val="24"/>
          <w:szCs w:val="24"/>
        </w:rPr>
        <w:t xml:space="preserve">valentemente le funzioni di </w:t>
      </w:r>
      <w:r>
        <w:rPr>
          <w:rFonts w:ascii="Times New Roman" w:hAnsi="Times New Roman"/>
          <w:i/>
          <w:sz w:val="24"/>
          <w:szCs w:val="24"/>
        </w:rPr>
        <w:t>line</w:t>
      </w:r>
      <w:r>
        <w:rPr>
          <w:rFonts w:ascii="Times New Roman" w:hAnsi="Times New Roman"/>
          <w:sz w:val="24"/>
          <w:szCs w:val="24"/>
        </w:rPr>
        <w:t>), in rapporto alle altre posizioni. Anche in questo caso, come per quello precedente, il fattore assume un peso ponderale pari a 3/16.</w:t>
      </w:r>
    </w:p>
    <w:p w14:paraId="4C2BC28F" w14:textId="77777777" w:rsidR="0009270F" w:rsidRDefault="0009270F">
      <w:pPr>
        <w:spacing w:after="0" w:line="240" w:lineRule="auto"/>
        <w:jc w:val="both"/>
        <w:rPr>
          <w:rFonts w:ascii="Cambria" w:hAnsi="Cambria"/>
        </w:rPr>
      </w:pPr>
    </w:p>
    <w:p w14:paraId="45D3D2CC" w14:textId="77777777" w:rsidR="0009270F" w:rsidRDefault="00E3567C">
      <w:pPr>
        <w:pStyle w:val="Titolo1"/>
        <w:keepLines w:val="0"/>
        <w:tabs>
          <w:tab w:val="left" w:pos="785"/>
        </w:tabs>
        <w:spacing w:before="0" w:line="240" w:lineRule="auto"/>
        <w:jc w:val="both"/>
        <w:rPr>
          <w:rFonts w:ascii="Cambria" w:hAnsi="Cambria"/>
          <w:b/>
          <w:color w:val="C00000"/>
          <w:sz w:val="26"/>
          <w:szCs w:val="26"/>
        </w:rPr>
      </w:pPr>
      <w:bookmarkStart w:id="8" w:name="_Toc425760353"/>
      <w:r>
        <w:rPr>
          <w:rFonts w:ascii="Times New Roman" w:hAnsi="Times New Roman"/>
          <w:b/>
          <w:color w:val="C00000"/>
          <w:sz w:val="24"/>
          <w:szCs w:val="24"/>
        </w:rPr>
        <w:t>3. Scheda di pesatura e graduazione delle posizioni e attuazione del sistema</w:t>
      </w:r>
      <w:bookmarkEnd w:id="8"/>
    </w:p>
    <w:p w14:paraId="6A4AB6B2" w14:textId="77777777" w:rsidR="0009270F" w:rsidRDefault="00E3567C">
      <w:pPr>
        <w:spacing w:before="60" w:after="0" w:line="240" w:lineRule="auto"/>
        <w:jc w:val="both"/>
        <w:rPr>
          <w:rFonts w:ascii="Cambria" w:hAnsi="Cambria" w:cs="Tahoma"/>
        </w:rPr>
      </w:pPr>
      <w:r>
        <w:rPr>
          <w:rFonts w:ascii="Times New Roman" w:hAnsi="Times New Roman" w:cs="Tahoma"/>
          <w:sz w:val="24"/>
          <w:szCs w:val="24"/>
        </w:rPr>
        <w:t>Il sistema</w:t>
      </w:r>
      <w:r>
        <w:rPr>
          <w:rFonts w:ascii="Times New Roman" w:hAnsi="Times New Roman" w:cs="Tahoma"/>
          <w:sz w:val="24"/>
          <w:szCs w:val="24"/>
        </w:rPr>
        <w:t xml:space="preserve"> descritto trova attuazione mediante l’utilizzo della seguente scheda di valutazione, funzionale a determinare il peso di ciascuna posizione. Il punteggio è espresso con un valore ricompreso tra quello minimo (per le posizioni che, rispetto alle altre, pos</w:t>
      </w:r>
      <w:r>
        <w:rPr>
          <w:rFonts w:ascii="Times New Roman" w:hAnsi="Times New Roman" w:cs="Tahoma"/>
          <w:sz w:val="24"/>
          <w:szCs w:val="24"/>
        </w:rPr>
        <w:t>seggono minor rilievo, relativamente al fattore considerato) e quello massimo (per le posizioni di maggior rilevo), previsti per ciascun fattore di valutazione.</w:t>
      </w:r>
    </w:p>
    <w:p w14:paraId="4F4FBBA8" w14:textId="77777777" w:rsidR="0009270F" w:rsidRDefault="0009270F">
      <w:pPr>
        <w:spacing w:after="0" w:line="240" w:lineRule="auto"/>
        <w:jc w:val="center"/>
        <w:rPr>
          <w:rFonts w:ascii="Cambria" w:hAnsi="Cambria" w:cs="Tahoma"/>
          <w:sz w:val="12"/>
          <w:szCs w:val="12"/>
        </w:rPr>
      </w:pPr>
    </w:p>
    <w:tbl>
      <w:tblPr>
        <w:tblW w:w="8342" w:type="dxa"/>
        <w:jc w:val="center"/>
        <w:tblLook w:val="01E0" w:firstRow="1" w:lastRow="1" w:firstColumn="1" w:lastColumn="1" w:noHBand="0" w:noVBand="0"/>
      </w:tblPr>
      <w:tblGrid>
        <w:gridCol w:w="5448"/>
        <w:gridCol w:w="2894"/>
      </w:tblGrid>
      <w:tr w:rsidR="0009270F" w14:paraId="38B008C6" w14:textId="77777777">
        <w:trPr>
          <w:jc w:val="center"/>
        </w:trPr>
        <w:tc>
          <w:tcPr>
            <w:tcW w:w="5447" w:type="dxa"/>
            <w:tcBorders>
              <w:top w:val="inset" w:sz="6" w:space="0" w:color="000000"/>
              <w:left w:val="inset" w:sz="6" w:space="0" w:color="000000"/>
              <w:bottom w:val="inset" w:sz="6" w:space="0" w:color="000000"/>
              <w:right w:val="inset" w:sz="6" w:space="0" w:color="000000"/>
            </w:tcBorders>
            <w:shd w:val="clear" w:color="auto" w:fill="FFFF99"/>
            <w:vAlign w:val="center"/>
          </w:tcPr>
          <w:p w14:paraId="40DEF293" w14:textId="77777777" w:rsidR="0009270F" w:rsidRDefault="00E3567C">
            <w:pPr>
              <w:spacing w:after="0" w:line="240" w:lineRule="auto"/>
              <w:rPr>
                <w:rFonts w:ascii="Cambria" w:hAnsi="Cambria"/>
                <w:b/>
                <w:w w:val="90"/>
              </w:rPr>
            </w:pPr>
            <w:r>
              <w:rPr>
                <w:rFonts w:ascii="Times New Roman" w:hAnsi="Times New Roman"/>
                <w:b/>
                <w:w w:val="90"/>
                <w:sz w:val="24"/>
                <w:szCs w:val="24"/>
              </w:rPr>
              <w:t>Fattore di valutazione</w:t>
            </w:r>
          </w:p>
        </w:tc>
        <w:tc>
          <w:tcPr>
            <w:tcW w:w="2894" w:type="dxa"/>
            <w:tcBorders>
              <w:top w:val="inset" w:sz="6" w:space="0" w:color="000000"/>
              <w:left w:val="inset" w:sz="6" w:space="0" w:color="000000"/>
              <w:bottom w:val="inset" w:sz="6" w:space="0" w:color="000000"/>
              <w:right w:val="inset" w:sz="6" w:space="0" w:color="000000"/>
            </w:tcBorders>
            <w:shd w:val="clear" w:color="auto" w:fill="FFFF99"/>
            <w:vAlign w:val="center"/>
          </w:tcPr>
          <w:p w14:paraId="440CC360" w14:textId="77777777" w:rsidR="0009270F" w:rsidRDefault="00E3567C">
            <w:pPr>
              <w:spacing w:after="0" w:line="240" w:lineRule="auto"/>
              <w:jc w:val="center"/>
              <w:rPr>
                <w:rFonts w:ascii="Cambria" w:hAnsi="Cambria"/>
                <w:b/>
                <w:w w:val="90"/>
              </w:rPr>
            </w:pPr>
            <w:r>
              <w:rPr>
                <w:rFonts w:ascii="Times New Roman" w:hAnsi="Times New Roman"/>
                <w:b/>
                <w:w w:val="90"/>
                <w:sz w:val="24"/>
                <w:szCs w:val="24"/>
              </w:rPr>
              <w:t>Punteggio</w:t>
            </w:r>
          </w:p>
        </w:tc>
      </w:tr>
      <w:tr w:rsidR="0009270F" w14:paraId="7353D891" w14:textId="77777777">
        <w:trPr>
          <w:jc w:val="center"/>
        </w:trPr>
        <w:tc>
          <w:tcPr>
            <w:tcW w:w="5447" w:type="dxa"/>
            <w:tcBorders>
              <w:top w:val="inset" w:sz="6" w:space="0" w:color="000000"/>
              <w:left w:val="inset" w:sz="6" w:space="0" w:color="000000"/>
              <w:bottom w:val="inset" w:sz="6" w:space="0" w:color="000000"/>
              <w:right w:val="inset" w:sz="6" w:space="0" w:color="000000"/>
            </w:tcBorders>
            <w:shd w:val="clear" w:color="auto" w:fill="auto"/>
            <w:vAlign w:val="center"/>
          </w:tcPr>
          <w:p w14:paraId="544D7808" w14:textId="77777777" w:rsidR="0009270F" w:rsidRDefault="00E3567C">
            <w:pPr>
              <w:spacing w:after="0" w:line="240" w:lineRule="auto"/>
              <w:rPr>
                <w:rFonts w:ascii="Cambria" w:hAnsi="Cambria"/>
                <w:w w:val="90"/>
              </w:rPr>
            </w:pPr>
            <w:r>
              <w:rPr>
                <w:rFonts w:ascii="Times New Roman" w:hAnsi="Times New Roman"/>
                <w:b/>
                <w:w w:val="90"/>
                <w:sz w:val="24"/>
                <w:szCs w:val="24"/>
              </w:rPr>
              <w:t>Complessità e dimensione dei compiti affidati</w:t>
            </w:r>
          </w:p>
        </w:tc>
        <w:tc>
          <w:tcPr>
            <w:tcW w:w="2894" w:type="dxa"/>
            <w:tcBorders>
              <w:top w:val="inset" w:sz="6" w:space="0" w:color="000000"/>
              <w:left w:val="inset" w:sz="6" w:space="0" w:color="000000"/>
              <w:bottom w:val="inset" w:sz="6" w:space="0" w:color="000000"/>
              <w:right w:val="inset" w:sz="6" w:space="0" w:color="000000"/>
            </w:tcBorders>
            <w:shd w:val="clear" w:color="auto" w:fill="auto"/>
            <w:vAlign w:val="center"/>
          </w:tcPr>
          <w:p w14:paraId="3B02BE85" w14:textId="77777777" w:rsidR="0009270F" w:rsidRDefault="00E3567C">
            <w:pPr>
              <w:spacing w:after="0" w:line="240" w:lineRule="auto"/>
              <w:jc w:val="center"/>
              <w:rPr>
                <w:rFonts w:ascii="Cambria" w:hAnsi="Cambria"/>
                <w:w w:val="90"/>
              </w:rPr>
            </w:pPr>
            <w:r>
              <w:rPr>
                <w:rFonts w:ascii="Times New Roman" w:hAnsi="Times New Roman"/>
                <w:w w:val="90"/>
                <w:sz w:val="24"/>
                <w:szCs w:val="24"/>
              </w:rPr>
              <w:t xml:space="preserve">Da 1 </w:t>
            </w:r>
            <w:r>
              <w:rPr>
                <w:rFonts w:ascii="Times New Roman" w:hAnsi="Times New Roman"/>
                <w:w w:val="90"/>
                <w:sz w:val="24"/>
                <w:szCs w:val="24"/>
              </w:rPr>
              <w:t>(min) a 5 (max)</w:t>
            </w:r>
          </w:p>
        </w:tc>
      </w:tr>
      <w:tr w:rsidR="0009270F" w14:paraId="2549EE83" w14:textId="77777777">
        <w:trPr>
          <w:jc w:val="center"/>
        </w:trPr>
        <w:tc>
          <w:tcPr>
            <w:tcW w:w="5447" w:type="dxa"/>
            <w:tcBorders>
              <w:top w:val="inset" w:sz="6" w:space="0" w:color="000000"/>
              <w:left w:val="inset" w:sz="6" w:space="0" w:color="000000"/>
              <w:bottom w:val="inset" w:sz="6" w:space="0" w:color="000000"/>
              <w:right w:val="inset" w:sz="6" w:space="0" w:color="000000"/>
            </w:tcBorders>
            <w:shd w:val="clear" w:color="auto" w:fill="auto"/>
            <w:vAlign w:val="center"/>
          </w:tcPr>
          <w:p w14:paraId="72A83439" w14:textId="77777777" w:rsidR="0009270F" w:rsidRDefault="00E3567C">
            <w:pPr>
              <w:spacing w:after="0" w:line="240" w:lineRule="auto"/>
              <w:rPr>
                <w:rFonts w:ascii="Cambria" w:hAnsi="Cambria"/>
                <w:w w:val="90"/>
              </w:rPr>
            </w:pPr>
            <w:r>
              <w:rPr>
                <w:rFonts w:ascii="Times New Roman" w:hAnsi="Times New Roman"/>
                <w:b/>
                <w:w w:val="90"/>
                <w:sz w:val="24"/>
                <w:szCs w:val="24"/>
              </w:rPr>
              <w:t>Consistenza delle risorse affidate</w:t>
            </w:r>
          </w:p>
        </w:tc>
        <w:tc>
          <w:tcPr>
            <w:tcW w:w="2894" w:type="dxa"/>
            <w:tcBorders>
              <w:top w:val="inset" w:sz="6" w:space="0" w:color="000000"/>
              <w:left w:val="inset" w:sz="6" w:space="0" w:color="000000"/>
              <w:bottom w:val="inset" w:sz="6" w:space="0" w:color="000000"/>
              <w:right w:val="inset" w:sz="6" w:space="0" w:color="000000"/>
            </w:tcBorders>
            <w:shd w:val="clear" w:color="auto" w:fill="auto"/>
            <w:vAlign w:val="center"/>
          </w:tcPr>
          <w:p w14:paraId="39E87128" w14:textId="77777777" w:rsidR="0009270F" w:rsidRDefault="00E3567C">
            <w:pPr>
              <w:spacing w:after="0" w:line="240" w:lineRule="auto"/>
              <w:jc w:val="center"/>
              <w:rPr>
                <w:rFonts w:ascii="Cambria" w:hAnsi="Cambria"/>
                <w:w w:val="90"/>
              </w:rPr>
            </w:pPr>
            <w:r>
              <w:rPr>
                <w:rFonts w:ascii="Times New Roman" w:hAnsi="Times New Roman"/>
                <w:w w:val="90"/>
                <w:sz w:val="24"/>
                <w:szCs w:val="24"/>
              </w:rPr>
              <w:t>Da 1 (min) a 5 (max)</w:t>
            </w:r>
          </w:p>
        </w:tc>
      </w:tr>
      <w:tr w:rsidR="0009270F" w14:paraId="5F7C2731" w14:textId="77777777">
        <w:trPr>
          <w:jc w:val="center"/>
        </w:trPr>
        <w:tc>
          <w:tcPr>
            <w:tcW w:w="5447" w:type="dxa"/>
            <w:tcBorders>
              <w:top w:val="inset" w:sz="6" w:space="0" w:color="000000"/>
              <w:left w:val="inset" w:sz="6" w:space="0" w:color="000000"/>
              <w:bottom w:val="inset" w:sz="6" w:space="0" w:color="000000"/>
              <w:right w:val="inset" w:sz="6" w:space="0" w:color="000000"/>
            </w:tcBorders>
            <w:shd w:val="clear" w:color="auto" w:fill="auto"/>
            <w:vAlign w:val="center"/>
          </w:tcPr>
          <w:p w14:paraId="204FEF68" w14:textId="77777777" w:rsidR="0009270F" w:rsidRDefault="00E3567C">
            <w:pPr>
              <w:spacing w:after="0" w:line="240" w:lineRule="auto"/>
              <w:rPr>
                <w:rFonts w:ascii="Cambria" w:hAnsi="Cambria"/>
                <w:w w:val="90"/>
              </w:rPr>
            </w:pPr>
            <w:r>
              <w:rPr>
                <w:rFonts w:ascii="Times New Roman" w:hAnsi="Times New Roman"/>
                <w:b/>
                <w:w w:val="90"/>
                <w:sz w:val="24"/>
                <w:szCs w:val="24"/>
              </w:rPr>
              <w:t>Rilevanza per l’organizzazione interna</w:t>
            </w:r>
          </w:p>
        </w:tc>
        <w:tc>
          <w:tcPr>
            <w:tcW w:w="2894" w:type="dxa"/>
            <w:tcBorders>
              <w:top w:val="inset" w:sz="6" w:space="0" w:color="000000"/>
              <w:left w:val="inset" w:sz="6" w:space="0" w:color="000000"/>
              <w:bottom w:val="inset" w:sz="6" w:space="0" w:color="000000"/>
              <w:right w:val="inset" w:sz="6" w:space="0" w:color="000000"/>
            </w:tcBorders>
            <w:shd w:val="clear" w:color="auto" w:fill="auto"/>
            <w:vAlign w:val="center"/>
          </w:tcPr>
          <w:p w14:paraId="35A03E20" w14:textId="77777777" w:rsidR="0009270F" w:rsidRDefault="00E3567C">
            <w:pPr>
              <w:spacing w:after="0" w:line="240" w:lineRule="auto"/>
              <w:jc w:val="center"/>
              <w:rPr>
                <w:rFonts w:ascii="Cambria" w:hAnsi="Cambria"/>
                <w:w w:val="90"/>
              </w:rPr>
            </w:pPr>
            <w:r>
              <w:rPr>
                <w:rFonts w:ascii="Times New Roman" w:hAnsi="Times New Roman"/>
                <w:w w:val="90"/>
                <w:sz w:val="24"/>
                <w:szCs w:val="24"/>
              </w:rPr>
              <w:t>Da 1 (min) a 3 (max)</w:t>
            </w:r>
          </w:p>
        </w:tc>
      </w:tr>
      <w:tr w:rsidR="0009270F" w14:paraId="60A6315D" w14:textId="77777777">
        <w:trPr>
          <w:jc w:val="center"/>
        </w:trPr>
        <w:tc>
          <w:tcPr>
            <w:tcW w:w="5447" w:type="dxa"/>
            <w:tcBorders>
              <w:top w:val="inset" w:sz="6" w:space="0" w:color="000000"/>
              <w:left w:val="inset" w:sz="6" w:space="0" w:color="000000"/>
              <w:bottom w:val="inset" w:sz="6" w:space="0" w:color="000000"/>
              <w:right w:val="inset" w:sz="6" w:space="0" w:color="000000"/>
            </w:tcBorders>
            <w:shd w:val="clear" w:color="auto" w:fill="auto"/>
            <w:vAlign w:val="center"/>
          </w:tcPr>
          <w:p w14:paraId="38F86D46" w14:textId="77777777" w:rsidR="0009270F" w:rsidRDefault="00E3567C">
            <w:pPr>
              <w:spacing w:after="0" w:line="240" w:lineRule="auto"/>
              <w:rPr>
                <w:rFonts w:ascii="Cambria" w:hAnsi="Cambria"/>
                <w:w w:val="90"/>
              </w:rPr>
            </w:pPr>
            <w:r>
              <w:rPr>
                <w:rFonts w:ascii="Times New Roman" w:hAnsi="Times New Roman"/>
                <w:b/>
                <w:w w:val="90"/>
                <w:sz w:val="24"/>
                <w:szCs w:val="24"/>
              </w:rPr>
              <w:t>Impatto esterno</w:t>
            </w:r>
          </w:p>
        </w:tc>
        <w:tc>
          <w:tcPr>
            <w:tcW w:w="2894" w:type="dxa"/>
            <w:tcBorders>
              <w:top w:val="inset" w:sz="6" w:space="0" w:color="000000"/>
              <w:left w:val="inset" w:sz="6" w:space="0" w:color="000000"/>
              <w:bottom w:val="inset" w:sz="6" w:space="0" w:color="000000"/>
              <w:right w:val="inset" w:sz="6" w:space="0" w:color="000000"/>
            </w:tcBorders>
            <w:shd w:val="clear" w:color="auto" w:fill="auto"/>
            <w:vAlign w:val="center"/>
          </w:tcPr>
          <w:p w14:paraId="2D84F48B" w14:textId="77777777" w:rsidR="0009270F" w:rsidRDefault="00E3567C">
            <w:pPr>
              <w:spacing w:after="0" w:line="240" w:lineRule="auto"/>
              <w:jc w:val="center"/>
              <w:rPr>
                <w:rFonts w:ascii="Cambria" w:hAnsi="Cambria"/>
                <w:w w:val="90"/>
              </w:rPr>
            </w:pPr>
            <w:r>
              <w:rPr>
                <w:rFonts w:ascii="Times New Roman" w:hAnsi="Times New Roman"/>
                <w:w w:val="90"/>
                <w:sz w:val="24"/>
                <w:szCs w:val="24"/>
              </w:rPr>
              <w:t>Da 1 (min) a 3 (max)</w:t>
            </w:r>
          </w:p>
        </w:tc>
      </w:tr>
      <w:tr w:rsidR="0009270F" w14:paraId="63782E10" w14:textId="77777777">
        <w:trPr>
          <w:jc w:val="center"/>
        </w:trPr>
        <w:tc>
          <w:tcPr>
            <w:tcW w:w="5447" w:type="dxa"/>
            <w:tcBorders>
              <w:top w:val="inset" w:sz="6" w:space="0" w:color="000000"/>
              <w:left w:val="inset" w:sz="6" w:space="0" w:color="000000"/>
              <w:bottom w:val="inset" w:sz="6" w:space="0" w:color="000000"/>
              <w:right w:val="inset" w:sz="6" w:space="0" w:color="000000"/>
            </w:tcBorders>
            <w:shd w:val="clear" w:color="auto" w:fill="auto"/>
            <w:vAlign w:val="center"/>
          </w:tcPr>
          <w:p w14:paraId="62C0B7D1" w14:textId="77777777" w:rsidR="0009270F" w:rsidRDefault="00E3567C">
            <w:pPr>
              <w:spacing w:after="0" w:line="240" w:lineRule="auto"/>
              <w:jc w:val="right"/>
              <w:rPr>
                <w:rFonts w:ascii="Cambria" w:hAnsi="Cambria"/>
                <w:b/>
                <w:w w:val="90"/>
              </w:rPr>
            </w:pPr>
            <w:r>
              <w:rPr>
                <w:rFonts w:ascii="Times New Roman" w:hAnsi="Times New Roman"/>
                <w:b/>
                <w:w w:val="90"/>
                <w:sz w:val="24"/>
                <w:szCs w:val="24"/>
              </w:rPr>
              <w:t>TOTALE</w:t>
            </w:r>
          </w:p>
        </w:tc>
        <w:tc>
          <w:tcPr>
            <w:tcW w:w="2894" w:type="dxa"/>
            <w:tcBorders>
              <w:top w:val="inset" w:sz="6" w:space="0" w:color="000000"/>
              <w:left w:val="inset" w:sz="6" w:space="0" w:color="000000"/>
              <w:bottom w:val="inset" w:sz="6" w:space="0" w:color="000000"/>
              <w:right w:val="inset" w:sz="6" w:space="0" w:color="000000"/>
            </w:tcBorders>
            <w:shd w:val="clear" w:color="auto" w:fill="FFFF00"/>
            <w:vAlign w:val="center"/>
          </w:tcPr>
          <w:p w14:paraId="1658B082" w14:textId="77777777" w:rsidR="0009270F" w:rsidRDefault="0009270F">
            <w:pPr>
              <w:spacing w:after="0" w:line="240" w:lineRule="auto"/>
              <w:jc w:val="center"/>
              <w:rPr>
                <w:rFonts w:ascii="Cambria" w:hAnsi="Cambria"/>
                <w:w w:val="90"/>
              </w:rPr>
            </w:pPr>
          </w:p>
        </w:tc>
      </w:tr>
    </w:tbl>
    <w:p w14:paraId="148BF68E" w14:textId="77777777" w:rsidR="0009270F" w:rsidRDefault="00E3567C">
      <w:pPr>
        <w:spacing w:before="120" w:after="0" w:line="240" w:lineRule="auto"/>
        <w:jc w:val="both"/>
        <w:rPr>
          <w:rFonts w:ascii="Cambria" w:hAnsi="Cambria" w:cs="Tahoma"/>
        </w:rPr>
      </w:pPr>
      <w:r>
        <w:rPr>
          <w:rFonts w:ascii="Times New Roman" w:hAnsi="Times New Roman" w:cs="Tahoma"/>
          <w:sz w:val="24"/>
          <w:szCs w:val="24"/>
        </w:rPr>
        <w:t xml:space="preserve">La descrizione dei fattori di valutazione, già oggetto di disamina al </w:t>
      </w:r>
      <w:r>
        <w:rPr>
          <w:rFonts w:ascii="Times New Roman" w:hAnsi="Times New Roman" w:cs="Tahoma"/>
          <w:sz w:val="24"/>
          <w:szCs w:val="24"/>
        </w:rPr>
        <w:t>paragrafo precedente, che costituisce la base teorica di riferimento per l’effettuazione della pesatura di ciascuna posizione, in comparazione con le altre posizioni, è così sintetizzata:</w:t>
      </w:r>
    </w:p>
    <w:p w14:paraId="587E57C9" w14:textId="77777777" w:rsidR="0009270F" w:rsidRDefault="0009270F">
      <w:pPr>
        <w:spacing w:after="0" w:line="240" w:lineRule="auto"/>
        <w:jc w:val="both"/>
        <w:rPr>
          <w:rFonts w:ascii="Cambria" w:hAnsi="Cambria" w:cs="Tahoma"/>
          <w:sz w:val="12"/>
          <w:szCs w:val="12"/>
        </w:rPr>
      </w:pPr>
    </w:p>
    <w:tbl>
      <w:tblPr>
        <w:tblW w:w="8909" w:type="dxa"/>
        <w:jc w:val="center"/>
        <w:tblLook w:val="01E0" w:firstRow="1" w:lastRow="1" w:firstColumn="1" w:lastColumn="1" w:noHBand="0" w:noVBand="0"/>
      </w:tblPr>
      <w:tblGrid>
        <w:gridCol w:w="3462"/>
        <w:gridCol w:w="5447"/>
      </w:tblGrid>
      <w:tr w:rsidR="0009270F" w14:paraId="36582578" w14:textId="77777777">
        <w:trPr>
          <w:cantSplit/>
          <w:jc w:val="center"/>
        </w:trPr>
        <w:tc>
          <w:tcPr>
            <w:tcW w:w="3462" w:type="dxa"/>
            <w:tcBorders>
              <w:top w:val="inset" w:sz="6" w:space="0" w:color="000000"/>
              <w:left w:val="inset" w:sz="6" w:space="0" w:color="000000"/>
              <w:bottom w:val="inset" w:sz="6" w:space="0" w:color="000000"/>
              <w:right w:val="inset" w:sz="6" w:space="0" w:color="000000"/>
            </w:tcBorders>
            <w:shd w:val="clear" w:color="auto" w:fill="FFFF99"/>
          </w:tcPr>
          <w:p w14:paraId="01FAAEB0" w14:textId="77777777" w:rsidR="0009270F" w:rsidRDefault="00E3567C">
            <w:pPr>
              <w:spacing w:after="0" w:line="240" w:lineRule="auto"/>
              <w:rPr>
                <w:rFonts w:ascii="Cambria" w:hAnsi="Cambria"/>
                <w:b/>
                <w:w w:val="90"/>
              </w:rPr>
            </w:pPr>
            <w:r>
              <w:rPr>
                <w:rFonts w:ascii="Times New Roman" w:hAnsi="Times New Roman"/>
                <w:b/>
                <w:w w:val="90"/>
                <w:sz w:val="24"/>
                <w:szCs w:val="24"/>
              </w:rPr>
              <w:t>Complessità e dimensione dei compiti affidati</w:t>
            </w:r>
          </w:p>
        </w:tc>
        <w:tc>
          <w:tcPr>
            <w:tcW w:w="5446" w:type="dxa"/>
            <w:tcBorders>
              <w:top w:val="inset" w:sz="6" w:space="0" w:color="000000"/>
              <w:left w:val="inset" w:sz="6" w:space="0" w:color="000000"/>
              <w:bottom w:val="inset" w:sz="6" w:space="0" w:color="000000"/>
              <w:right w:val="inset" w:sz="6" w:space="0" w:color="000000"/>
            </w:tcBorders>
            <w:shd w:val="clear" w:color="auto" w:fill="auto"/>
          </w:tcPr>
          <w:p w14:paraId="090C424C" w14:textId="77777777" w:rsidR="0009270F" w:rsidRDefault="00E3567C">
            <w:pPr>
              <w:spacing w:after="0" w:line="240" w:lineRule="auto"/>
              <w:jc w:val="both"/>
              <w:rPr>
                <w:rFonts w:ascii="Cambria" w:hAnsi="Cambria"/>
                <w:i/>
                <w:w w:val="90"/>
              </w:rPr>
            </w:pPr>
            <w:r>
              <w:rPr>
                <w:rFonts w:ascii="Times New Roman" w:hAnsi="Times New Roman"/>
                <w:i/>
                <w:w w:val="90"/>
                <w:sz w:val="24"/>
                <w:szCs w:val="24"/>
              </w:rPr>
              <w:t xml:space="preserve">Misura la </w:t>
            </w:r>
            <w:r>
              <w:rPr>
                <w:rFonts w:ascii="Times New Roman" w:hAnsi="Times New Roman"/>
                <w:i/>
                <w:w w:val="90"/>
                <w:sz w:val="24"/>
                <w:szCs w:val="24"/>
              </w:rPr>
              <w:t>consistenza quali-quantitativa e il grado di eterogeneità dei compiti e delle responsabilità affidate alla posizione, rilevabile dalle specifiche attribuzioni poste in capo alla posizione stessa, in reazione al complesso delle funzioni e dei servizi fondam</w:t>
            </w:r>
            <w:r>
              <w:rPr>
                <w:rFonts w:ascii="Times New Roman" w:hAnsi="Times New Roman"/>
                <w:i/>
                <w:w w:val="90"/>
                <w:sz w:val="24"/>
                <w:szCs w:val="24"/>
              </w:rPr>
              <w:t>entali dell’Ente</w:t>
            </w:r>
          </w:p>
        </w:tc>
      </w:tr>
      <w:tr w:rsidR="0009270F" w14:paraId="021D136F" w14:textId="77777777">
        <w:trPr>
          <w:cantSplit/>
          <w:jc w:val="center"/>
        </w:trPr>
        <w:tc>
          <w:tcPr>
            <w:tcW w:w="3462" w:type="dxa"/>
            <w:tcBorders>
              <w:top w:val="inset" w:sz="6" w:space="0" w:color="000000"/>
              <w:left w:val="inset" w:sz="6" w:space="0" w:color="000000"/>
              <w:bottom w:val="inset" w:sz="6" w:space="0" w:color="000000"/>
              <w:right w:val="inset" w:sz="6" w:space="0" w:color="000000"/>
            </w:tcBorders>
            <w:shd w:val="clear" w:color="auto" w:fill="FFFF99"/>
          </w:tcPr>
          <w:p w14:paraId="6EA23E7A" w14:textId="77777777" w:rsidR="0009270F" w:rsidRDefault="00E3567C">
            <w:pPr>
              <w:spacing w:after="0" w:line="240" w:lineRule="auto"/>
              <w:rPr>
                <w:rFonts w:ascii="Cambria" w:hAnsi="Cambria"/>
                <w:b/>
                <w:w w:val="90"/>
              </w:rPr>
            </w:pPr>
            <w:r>
              <w:rPr>
                <w:rFonts w:ascii="Times New Roman" w:hAnsi="Times New Roman"/>
                <w:b/>
                <w:w w:val="90"/>
                <w:sz w:val="24"/>
                <w:szCs w:val="24"/>
              </w:rPr>
              <w:t>Consistenza delle risorse affidate</w:t>
            </w:r>
          </w:p>
        </w:tc>
        <w:tc>
          <w:tcPr>
            <w:tcW w:w="5446" w:type="dxa"/>
            <w:tcBorders>
              <w:top w:val="inset" w:sz="6" w:space="0" w:color="000000"/>
              <w:left w:val="inset" w:sz="6" w:space="0" w:color="000000"/>
              <w:bottom w:val="inset" w:sz="6" w:space="0" w:color="000000"/>
              <w:right w:val="inset" w:sz="6" w:space="0" w:color="000000"/>
            </w:tcBorders>
            <w:shd w:val="clear" w:color="auto" w:fill="auto"/>
          </w:tcPr>
          <w:p w14:paraId="6143D3B1" w14:textId="77777777" w:rsidR="0009270F" w:rsidRDefault="00E3567C">
            <w:pPr>
              <w:spacing w:after="0" w:line="240" w:lineRule="auto"/>
              <w:jc w:val="both"/>
              <w:rPr>
                <w:rFonts w:ascii="Cambria" w:hAnsi="Cambria"/>
                <w:i/>
                <w:w w:val="90"/>
              </w:rPr>
            </w:pPr>
            <w:r>
              <w:rPr>
                <w:rFonts w:ascii="Times New Roman" w:hAnsi="Times New Roman"/>
                <w:i/>
                <w:w w:val="90"/>
                <w:sz w:val="24"/>
                <w:szCs w:val="24"/>
              </w:rPr>
              <w:t>Apprezza la dimensione delle risorse economiche (entrata e spesa), umane e strumentali direttamente gestite dalla posizione, in relazione al complesso delle risorse di cui dispone l’Ente e in comparazion</w:t>
            </w:r>
            <w:r>
              <w:rPr>
                <w:rFonts w:ascii="Times New Roman" w:hAnsi="Times New Roman"/>
                <w:i/>
                <w:w w:val="90"/>
                <w:sz w:val="24"/>
                <w:szCs w:val="24"/>
              </w:rPr>
              <w:t>e con quelle gestite dalle altre posizioni.</w:t>
            </w:r>
          </w:p>
        </w:tc>
      </w:tr>
      <w:tr w:rsidR="0009270F" w14:paraId="3DE1F78F" w14:textId="77777777">
        <w:trPr>
          <w:cantSplit/>
          <w:jc w:val="center"/>
        </w:trPr>
        <w:tc>
          <w:tcPr>
            <w:tcW w:w="3462" w:type="dxa"/>
            <w:tcBorders>
              <w:top w:val="inset" w:sz="6" w:space="0" w:color="000000"/>
              <w:left w:val="inset" w:sz="6" w:space="0" w:color="000000"/>
              <w:bottom w:val="inset" w:sz="6" w:space="0" w:color="000000"/>
              <w:right w:val="inset" w:sz="6" w:space="0" w:color="000000"/>
            </w:tcBorders>
            <w:shd w:val="clear" w:color="auto" w:fill="FFFF99"/>
          </w:tcPr>
          <w:p w14:paraId="307F2C8B" w14:textId="77777777" w:rsidR="0009270F" w:rsidRDefault="00E3567C">
            <w:pPr>
              <w:spacing w:after="0" w:line="240" w:lineRule="auto"/>
              <w:rPr>
                <w:rFonts w:ascii="Cambria" w:hAnsi="Cambria"/>
                <w:b/>
                <w:w w:val="90"/>
              </w:rPr>
            </w:pPr>
            <w:r>
              <w:rPr>
                <w:rFonts w:ascii="Times New Roman" w:hAnsi="Times New Roman"/>
                <w:b/>
                <w:w w:val="90"/>
                <w:sz w:val="24"/>
                <w:szCs w:val="24"/>
              </w:rPr>
              <w:t>Rilevanza per l’organizzazione interna</w:t>
            </w:r>
          </w:p>
        </w:tc>
        <w:tc>
          <w:tcPr>
            <w:tcW w:w="5446" w:type="dxa"/>
            <w:tcBorders>
              <w:top w:val="inset" w:sz="6" w:space="0" w:color="000000"/>
              <w:left w:val="inset" w:sz="6" w:space="0" w:color="000000"/>
              <w:bottom w:val="inset" w:sz="6" w:space="0" w:color="000000"/>
              <w:right w:val="inset" w:sz="6" w:space="0" w:color="000000"/>
            </w:tcBorders>
            <w:shd w:val="clear" w:color="auto" w:fill="auto"/>
          </w:tcPr>
          <w:p w14:paraId="19DC9237" w14:textId="77777777" w:rsidR="0009270F" w:rsidRDefault="00E3567C">
            <w:pPr>
              <w:spacing w:after="0" w:line="240" w:lineRule="auto"/>
              <w:jc w:val="both"/>
              <w:rPr>
                <w:rFonts w:ascii="Cambria" w:hAnsi="Cambria"/>
                <w:i/>
                <w:w w:val="90"/>
              </w:rPr>
            </w:pPr>
            <w:r>
              <w:rPr>
                <w:rFonts w:ascii="Times New Roman" w:hAnsi="Times New Roman"/>
                <w:i/>
                <w:w w:val="90"/>
                <w:sz w:val="24"/>
                <w:szCs w:val="24"/>
              </w:rPr>
              <w:t>Misura la consistenza e il livello di complessità delle relazioni interne, mediante l’apprezzamento del quoziente della rilevanza infra organizzativa della posizione e la r</w:t>
            </w:r>
            <w:r>
              <w:rPr>
                <w:rFonts w:ascii="Times New Roman" w:hAnsi="Times New Roman"/>
                <w:i/>
                <w:w w:val="90"/>
                <w:sz w:val="24"/>
                <w:szCs w:val="24"/>
              </w:rPr>
              <w:t>elativa trasversalità dei compiti (che qualifica prevalentemente le funzioni di staff), rispetto alle restanti posizioni.</w:t>
            </w:r>
          </w:p>
        </w:tc>
      </w:tr>
      <w:tr w:rsidR="0009270F" w14:paraId="29F94258" w14:textId="77777777">
        <w:trPr>
          <w:cantSplit/>
          <w:jc w:val="center"/>
        </w:trPr>
        <w:tc>
          <w:tcPr>
            <w:tcW w:w="3462" w:type="dxa"/>
            <w:tcBorders>
              <w:top w:val="inset" w:sz="6" w:space="0" w:color="000000"/>
              <w:left w:val="inset" w:sz="6" w:space="0" w:color="000000"/>
              <w:bottom w:val="inset" w:sz="6" w:space="0" w:color="000000"/>
              <w:right w:val="inset" w:sz="6" w:space="0" w:color="000000"/>
            </w:tcBorders>
            <w:shd w:val="clear" w:color="auto" w:fill="FFFF99"/>
          </w:tcPr>
          <w:p w14:paraId="20E30FE7" w14:textId="77777777" w:rsidR="0009270F" w:rsidRDefault="00E3567C">
            <w:pPr>
              <w:spacing w:after="0" w:line="240" w:lineRule="auto"/>
              <w:rPr>
                <w:rFonts w:ascii="Cambria" w:hAnsi="Cambria"/>
                <w:b/>
                <w:w w:val="90"/>
              </w:rPr>
            </w:pPr>
            <w:r>
              <w:rPr>
                <w:rFonts w:ascii="Times New Roman" w:hAnsi="Times New Roman"/>
                <w:b/>
                <w:w w:val="90"/>
                <w:sz w:val="24"/>
                <w:szCs w:val="24"/>
              </w:rPr>
              <w:t>Impatto esterno</w:t>
            </w:r>
          </w:p>
        </w:tc>
        <w:tc>
          <w:tcPr>
            <w:tcW w:w="5446" w:type="dxa"/>
            <w:tcBorders>
              <w:top w:val="inset" w:sz="6" w:space="0" w:color="000000"/>
              <w:left w:val="inset" w:sz="6" w:space="0" w:color="000000"/>
              <w:bottom w:val="inset" w:sz="6" w:space="0" w:color="000000"/>
              <w:right w:val="inset" w:sz="6" w:space="0" w:color="000000"/>
            </w:tcBorders>
            <w:shd w:val="clear" w:color="auto" w:fill="auto"/>
          </w:tcPr>
          <w:p w14:paraId="41E5DA6C" w14:textId="77777777" w:rsidR="0009270F" w:rsidRDefault="00E3567C">
            <w:pPr>
              <w:spacing w:after="0" w:line="240" w:lineRule="auto"/>
              <w:jc w:val="both"/>
              <w:rPr>
                <w:rFonts w:ascii="Cambria" w:hAnsi="Cambria"/>
                <w:i/>
                <w:w w:val="90"/>
              </w:rPr>
            </w:pPr>
            <w:r>
              <w:rPr>
                <w:rFonts w:ascii="Times New Roman" w:hAnsi="Times New Roman"/>
                <w:i/>
                <w:w w:val="90"/>
                <w:sz w:val="24"/>
                <w:szCs w:val="24"/>
              </w:rPr>
              <w:t>Rileva l’importanza dei prodotti e dei risultati per i portatori di interesse esterni, con ciò intendendo tutti i div</w:t>
            </w:r>
            <w:r>
              <w:rPr>
                <w:rFonts w:ascii="Times New Roman" w:hAnsi="Times New Roman"/>
                <w:i/>
                <w:w w:val="90"/>
                <w:sz w:val="24"/>
                <w:szCs w:val="24"/>
              </w:rPr>
              <w:t>ersi soggetti fruitori dei servizi dell’Ente, consentendo di apprezzare il quoziente di rilevanza esterna della posizione (che qualifica prevalentemente le funzioni di line),</w:t>
            </w:r>
            <w:r>
              <w:rPr>
                <w:rFonts w:ascii="Times New Roman" w:hAnsi="Times New Roman"/>
                <w:w w:val="90"/>
                <w:sz w:val="24"/>
                <w:szCs w:val="24"/>
              </w:rPr>
              <w:t xml:space="preserve"> </w:t>
            </w:r>
            <w:r>
              <w:rPr>
                <w:rFonts w:ascii="Times New Roman" w:hAnsi="Times New Roman"/>
                <w:i/>
                <w:w w:val="90"/>
                <w:sz w:val="24"/>
                <w:szCs w:val="24"/>
              </w:rPr>
              <w:t>in rapporto alle altre posizioni.</w:t>
            </w:r>
          </w:p>
        </w:tc>
      </w:tr>
    </w:tbl>
    <w:p w14:paraId="5A72ED07" w14:textId="77777777" w:rsidR="0009270F" w:rsidRDefault="00E3567C">
      <w:pPr>
        <w:spacing w:before="120" w:after="0" w:line="240" w:lineRule="auto"/>
        <w:jc w:val="both"/>
        <w:rPr>
          <w:rFonts w:ascii="Cambria" w:hAnsi="Cambria" w:cs="Tahoma"/>
        </w:rPr>
      </w:pPr>
      <w:r>
        <w:rPr>
          <w:rFonts w:ascii="Times New Roman" w:hAnsi="Times New Roman" w:cs="Tahoma"/>
          <w:sz w:val="24"/>
          <w:szCs w:val="24"/>
        </w:rPr>
        <w:t>La pesatura e graduazione delle posizioni ogge</w:t>
      </w:r>
      <w:r>
        <w:rPr>
          <w:rFonts w:ascii="Times New Roman" w:hAnsi="Times New Roman" w:cs="Tahoma"/>
          <w:sz w:val="24"/>
          <w:szCs w:val="24"/>
        </w:rPr>
        <w:t>tto di incarichi di EQ è approvata dalla Giunta.</w:t>
      </w:r>
      <w:r>
        <w:rPr>
          <w:rFonts w:ascii="Times New Roman" w:hAnsi="Times New Roman" w:cs="Tahoma"/>
          <w:sz w:val="24"/>
          <w:szCs w:val="24"/>
          <w:highlight w:val="yellow"/>
        </w:rPr>
        <w:t xml:space="preserve"> </w:t>
      </w:r>
      <w:r>
        <w:rPr>
          <w:rFonts w:ascii="Times New Roman" w:hAnsi="Times New Roman" w:cs="Tahoma"/>
          <w:sz w:val="24"/>
          <w:szCs w:val="24"/>
        </w:rPr>
        <w:t>La pesatura è proposta dal Nucleo di valutazione al Sindaco che la approva contestualmente all’adozione del decreto di nomina.</w:t>
      </w:r>
    </w:p>
    <w:p w14:paraId="05FC1531" w14:textId="77777777" w:rsidR="0009270F" w:rsidRDefault="0009270F">
      <w:pPr>
        <w:spacing w:after="0" w:line="240" w:lineRule="auto"/>
        <w:jc w:val="both"/>
        <w:rPr>
          <w:rFonts w:ascii="Cambria" w:hAnsi="Cambria" w:cs="Tahoma"/>
        </w:rPr>
      </w:pPr>
    </w:p>
    <w:p w14:paraId="32C59EA4" w14:textId="77777777" w:rsidR="0009270F" w:rsidRDefault="00E3567C">
      <w:pPr>
        <w:pStyle w:val="Titolo1"/>
        <w:spacing w:before="0" w:line="240" w:lineRule="auto"/>
        <w:jc w:val="both"/>
        <w:rPr>
          <w:rFonts w:ascii="Cambria" w:hAnsi="Cambria"/>
          <w:b/>
          <w:color w:val="C00000"/>
          <w:sz w:val="26"/>
          <w:szCs w:val="26"/>
        </w:rPr>
      </w:pPr>
      <w:r>
        <w:rPr>
          <w:rFonts w:ascii="Times New Roman" w:hAnsi="Times New Roman"/>
          <w:b/>
          <w:color w:val="C00000"/>
          <w:sz w:val="24"/>
          <w:szCs w:val="24"/>
        </w:rPr>
        <w:t xml:space="preserve">4. </w:t>
      </w:r>
      <w:bookmarkStart w:id="9" w:name="_Toc425760354"/>
      <w:r>
        <w:rPr>
          <w:rFonts w:ascii="Times New Roman" w:hAnsi="Times New Roman"/>
          <w:b/>
          <w:color w:val="C00000"/>
          <w:sz w:val="24"/>
          <w:szCs w:val="24"/>
        </w:rPr>
        <w:t xml:space="preserve">Il raccordo tra pesatura e valore economico della relativa </w:t>
      </w:r>
      <w:r>
        <w:rPr>
          <w:rFonts w:ascii="Times New Roman" w:hAnsi="Times New Roman"/>
          <w:b/>
          <w:color w:val="C00000"/>
          <w:sz w:val="24"/>
          <w:szCs w:val="24"/>
        </w:rPr>
        <w:t>retribuzione di posizione</w:t>
      </w:r>
      <w:bookmarkEnd w:id="9"/>
    </w:p>
    <w:p w14:paraId="6263C900" w14:textId="77777777" w:rsidR="0009270F" w:rsidRDefault="00E3567C">
      <w:pPr>
        <w:spacing w:before="60" w:after="0" w:line="240" w:lineRule="auto"/>
        <w:jc w:val="both"/>
        <w:rPr>
          <w:rFonts w:ascii="Cambria" w:hAnsi="Cambria"/>
        </w:rPr>
      </w:pPr>
      <w:r>
        <w:rPr>
          <w:rFonts w:ascii="Times New Roman" w:hAnsi="Times New Roman"/>
          <w:sz w:val="24"/>
          <w:szCs w:val="24"/>
        </w:rPr>
        <w:t>In applicazione di quanto stabilito dal CCNL del 16.11.2022, la soglia economica del valore della retribuzione di posizione derivante dalla pesatura di ciascuna delle posizioni oggetto di incarico di EQ è fissata in € 18.000,00. I</w:t>
      </w:r>
      <w:r>
        <w:rPr>
          <w:rFonts w:ascii="Times New Roman" w:hAnsi="Times New Roman"/>
          <w:sz w:val="24"/>
          <w:szCs w:val="24"/>
        </w:rPr>
        <w:t xml:space="preserve">l valore minimo è invece fissato in € 5.000,00. </w:t>
      </w:r>
    </w:p>
    <w:p w14:paraId="2922F385" w14:textId="77777777" w:rsidR="0009270F" w:rsidRDefault="00E3567C">
      <w:pPr>
        <w:spacing w:after="120"/>
        <w:jc w:val="both"/>
        <w:rPr>
          <w:rFonts w:ascii="Cambria" w:hAnsi="Cambria"/>
        </w:rPr>
      </w:pPr>
      <w:r>
        <w:rPr>
          <w:rFonts w:ascii="Times New Roman" w:hAnsi="Times New Roman"/>
          <w:sz w:val="24"/>
          <w:szCs w:val="24"/>
        </w:rPr>
        <w:t>Pertanto, per le posizioni oggetto di incarichi di EQ dell’Ente, l’importo della relativa retribuzione di posizione è dato dal punteggio ottenuto moltiplicato per il v</w:t>
      </w:r>
      <w:r>
        <w:rPr>
          <w:rFonts w:ascii="Times New Roman" w:hAnsi="Times New Roman"/>
          <w:sz w:val="24"/>
          <w:szCs w:val="24"/>
        </w:rPr>
        <w:t>alore/punto di € 1.125,00.</w:t>
      </w:r>
    </w:p>
    <w:p w14:paraId="3CE50C15" w14:textId="77777777" w:rsidR="0009270F" w:rsidRDefault="00E3567C">
      <w:pPr>
        <w:spacing w:after="120"/>
        <w:jc w:val="both"/>
        <w:rPr>
          <w:rFonts w:ascii="Cambria" w:hAnsi="Cambria"/>
        </w:rPr>
      </w:pPr>
      <w:r>
        <w:rPr>
          <w:rFonts w:ascii="Times New Roman" w:hAnsi="Times New Roman"/>
          <w:sz w:val="24"/>
          <w:szCs w:val="24"/>
        </w:rPr>
        <w:t>Avendo invece</w:t>
      </w:r>
      <w:r>
        <w:rPr>
          <w:rFonts w:ascii="Times New Roman" w:hAnsi="Times New Roman"/>
          <w:sz w:val="24"/>
          <w:szCs w:val="24"/>
        </w:rPr>
        <w:t xml:space="preserve"> presente, come già ricordato, che l’importo minimo stabilito dal contratto corrisponde ad € 5.000,00, si ritiene che non possano essere istituite posizioni oggetto di incarico di EQ la cui preliminare pesatura determini un valore della relativa retribuzio</w:t>
      </w:r>
      <w:r>
        <w:rPr>
          <w:rFonts w:ascii="Times New Roman" w:hAnsi="Times New Roman"/>
          <w:sz w:val="24"/>
          <w:szCs w:val="24"/>
        </w:rPr>
        <w:t>ne di posizione inferiore a tale limite.</w:t>
      </w:r>
    </w:p>
    <w:p w14:paraId="3A0D6882" w14:textId="77777777" w:rsidR="0009270F" w:rsidRDefault="00E3567C">
      <w:pPr>
        <w:spacing w:after="120"/>
        <w:jc w:val="both"/>
        <w:rPr>
          <w:rFonts w:ascii="Cambria" w:hAnsi="Cambria"/>
        </w:rPr>
      </w:pPr>
      <w:r>
        <w:rPr>
          <w:rFonts w:ascii="Times New Roman" w:hAnsi="Times New Roman"/>
          <w:color w:val="000000"/>
          <w:sz w:val="24"/>
          <w:szCs w:val="24"/>
        </w:rPr>
        <w:t>Nelle ipotesi di cui all’art. 16, comma 4 (incarichi ai dipendenti classificati nell’area degli Istruttori o degli Operatori esperti negli enti privi di personale dell’area dei Funzionari e dell’Elevata Qualificazio</w:t>
      </w:r>
      <w:r>
        <w:rPr>
          <w:rFonts w:ascii="Times New Roman" w:hAnsi="Times New Roman"/>
          <w:color w:val="000000"/>
          <w:sz w:val="24"/>
          <w:szCs w:val="24"/>
        </w:rPr>
        <w:t>ne) o 19, commi 2 e 3 (incarichi, in via eccezionale e temporanea, a personale dell’area degli Istruttori nei comuni la cui dotazione organica preveda posti appartenenti all’area dei Funzionari e dell’Elevata Qualificazione, ove tuttavia non siano in servi</w:t>
      </w:r>
      <w:r>
        <w:rPr>
          <w:rFonts w:ascii="Times New Roman" w:hAnsi="Times New Roman"/>
          <w:color w:val="000000"/>
          <w:sz w:val="24"/>
          <w:szCs w:val="24"/>
        </w:rPr>
        <w:t>zio dipendenti appartenenti alla predetta area oppure nei casi in cui, pure essendo in servizio dipendenti inquadrati in tale area, non sia possibile attribuire agli stessi un incarico ad interim di EQ per la carenza delle competenze professionali a tal fi</w:t>
      </w:r>
      <w:r>
        <w:rPr>
          <w:rFonts w:ascii="Times New Roman" w:hAnsi="Times New Roman"/>
          <w:color w:val="000000"/>
          <w:sz w:val="24"/>
          <w:szCs w:val="24"/>
        </w:rPr>
        <w:t>ne richieste), del CCNL del 16.11.2022, il valore/punto è proporzionalmente rideterminato, tenendo conto che la relativa retribuzione di posizione varia un minimo di € 3.000,00 ad un massimo di € 9.500,00 annui lordi per tredici mensilità.</w:t>
      </w:r>
    </w:p>
    <w:p w14:paraId="2F6F05C4" w14:textId="77777777" w:rsidR="0009270F" w:rsidRDefault="00E3567C">
      <w:pPr>
        <w:spacing w:after="120"/>
        <w:jc w:val="both"/>
        <w:rPr>
          <w:rFonts w:ascii="Cambria" w:hAnsi="Cambria"/>
        </w:rPr>
      </w:pPr>
      <w:r>
        <w:rPr>
          <w:rFonts w:ascii="Times New Roman" w:hAnsi="Times New Roman"/>
          <w:color w:val="000000"/>
          <w:sz w:val="24"/>
          <w:szCs w:val="24"/>
        </w:rPr>
        <w:t>In ogni caso, ne</w:t>
      </w:r>
      <w:r>
        <w:rPr>
          <w:rFonts w:ascii="Times New Roman" w:hAnsi="Times New Roman"/>
          <w:color w:val="000000"/>
          <w:sz w:val="24"/>
          <w:szCs w:val="24"/>
        </w:rPr>
        <w:t>ll’eventualità in cui la sommatoria dei valori delle retribuzioni di posizione derivanti dall’applicazione della presente metodologia superi l’ammontare delle risorse disponibili per il finanziamento di tali retribuzioni, le stesse sono ridotte proporziona</w:t>
      </w:r>
      <w:r>
        <w:rPr>
          <w:rFonts w:ascii="Times New Roman" w:hAnsi="Times New Roman"/>
          <w:color w:val="000000"/>
          <w:sz w:val="24"/>
          <w:szCs w:val="24"/>
        </w:rPr>
        <w:t>lmente al fine di conseguire il rispetto del predetto ammontare (assicurando, comunque, il valore minimo di € 5.000,00 o di € 3.000,00 per i casi di cui al precedente periodo). In relazione ai suddetti limiti o comunque per la necessità di ridurre le risor</w:t>
      </w:r>
      <w:r>
        <w:rPr>
          <w:rFonts w:ascii="Times New Roman" w:hAnsi="Times New Roman"/>
          <w:color w:val="000000"/>
          <w:sz w:val="24"/>
          <w:szCs w:val="24"/>
        </w:rPr>
        <w:t>se finanziarie destinate al finanziamento delle posizioni oggetto di incarichi di EQ ovvero per incrementare le risorse destinate alla retribuzione di risultato delle posizioni stesse, ai sensi dell’articolo 17, comma 4, del CCNL del 16.11.2022, l’Amminist</w:t>
      </w:r>
      <w:r>
        <w:rPr>
          <w:rFonts w:ascii="Times New Roman" w:hAnsi="Times New Roman"/>
          <w:color w:val="000000"/>
          <w:sz w:val="24"/>
          <w:szCs w:val="24"/>
        </w:rPr>
        <w:t>razione può rideterminare, in diminuzione, il valore/punto di cui sopra. È fatta salva l’applicazione di disposizioni di legge che, alle condizioni stabilite, consentano di derogare ai limiti dell’ammontare delle risorse destinate alle predette retribuzion</w:t>
      </w:r>
      <w:r>
        <w:rPr>
          <w:rFonts w:ascii="Times New Roman" w:hAnsi="Times New Roman"/>
          <w:color w:val="000000"/>
          <w:sz w:val="24"/>
          <w:szCs w:val="24"/>
        </w:rPr>
        <w:t>i.</w:t>
      </w:r>
    </w:p>
    <w:p w14:paraId="513CEF11" w14:textId="77777777" w:rsidR="0009270F" w:rsidRDefault="00E3567C">
      <w:pPr>
        <w:spacing w:after="120"/>
        <w:jc w:val="both"/>
        <w:rPr>
          <w:rFonts w:ascii="Cambria" w:hAnsi="Cambria"/>
        </w:rPr>
      </w:pPr>
      <w:r>
        <w:rPr>
          <w:rFonts w:ascii="Times New Roman" w:hAnsi="Times New Roman"/>
          <w:color w:val="000000"/>
          <w:sz w:val="24"/>
          <w:szCs w:val="24"/>
        </w:rPr>
        <w:t xml:space="preserve">Nelle ipotesi di cui all’art. 23, comma 5, del CCNL del 16.11.2022 (conferimento di incarico di EQ a personale utilizzato a tempo parziale presso altro ente o presso servizi in convenzione, ivi compreso il caso dell’utilizzo a tempo parziale presso una </w:t>
      </w:r>
      <w:r>
        <w:rPr>
          <w:rFonts w:ascii="Times New Roman" w:hAnsi="Times New Roman"/>
          <w:color w:val="000000"/>
          <w:sz w:val="24"/>
          <w:szCs w:val="24"/>
        </w:rPr>
        <w:t>Unione di comuni), la rideterminazione dei relativi valori della retribuzione di posizione, nell’ente di appartenenza e in quello di utilizzazione, tiene comunque conto della intervenuta riduzione della prestazione lavorativa. Le specifiche modalità applic</w:t>
      </w:r>
      <w:r>
        <w:rPr>
          <w:rFonts w:ascii="Times New Roman" w:hAnsi="Times New Roman"/>
          <w:color w:val="000000"/>
          <w:sz w:val="24"/>
          <w:szCs w:val="24"/>
        </w:rPr>
        <w:t>ative, comprese quelle riferite alle facoltà di cui al terzo alinea dello stesso comma 5 dell’art. 23</w:t>
      </w:r>
      <w:r>
        <w:rPr>
          <w:rStyle w:val="Richiamoallanotaapidipagina"/>
          <w:rFonts w:ascii="Times New Roman" w:hAnsi="Times New Roman"/>
          <w:color w:val="000000"/>
          <w:sz w:val="24"/>
          <w:szCs w:val="24"/>
          <w:lang w:eastAsia="it-IT"/>
        </w:rPr>
        <w:footnoteReference w:id="2"/>
      </w:r>
      <w:r>
        <w:rPr>
          <w:rFonts w:ascii="Times New Roman" w:hAnsi="Times New Roman"/>
          <w:color w:val="000000"/>
          <w:sz w:val="24"/>
          <w:szCs w:val="24"/>
        </w:rPr>
        <w:t xml:space="preserve">, sono definite dai relativi </w:t>
      </w:r>
      <w:r>
        <w:rPr>
          <w:rFonts w:ascii="Times New Roman" w:hAnsi="Times New Roman"/>
          <w:color w:val="000000"/>
          <w:sz w:val="24"/>
          <w:szCs w:val="24"/>
        </w:rPr>
        <w:lastRenderedPageBreak/>
        <w:t>accordi tra le amministrazioni interessate, salvo, in ogni caso, il rispetto dei prescritti limiti finanziari.</w:t>
      </w:r>
    </w:p>
    <w:p w14:paraId="29AC483A" w14:textId="77777777" w:rsidR="0009270F" w:rsidRDefault="00E3567C">
      <w:pPr>
        <w:spacing w:before="60" w:after="0" w:line="240" w:lineRule="auto"/>
        <w:jc w:val="both"/>
        <w:rPr>
          <w:rFonts w:ascii="Cambria" w:hAnsi="Cambria"/>
        </w:rPr>
      </w:pPr>
      <w:r>
        <w:rPr>
          <w:rFonts w:ascii="Times New Roman" w:hAnsi="Times New Roman"/>
          <w:color w:val="000000"/>
          <w:sz w:val="24"/>
          <w:szCs w:val="24"/>
        </w:rPr>
        <w:t>Resta fermo c</w:t>
      </w:r>
      <w:r>
        <w:rPr>
          <w:rFonts w:ascii="Times New Roman" w:hAnsi="Times New Roman"/>
          <w:color w:val="000000"/>
          <w:sz w:val="24"/>
          <w:szCs w:val="24"/>
        </w:rPr>
        <w:t>he, nel caso del conferimento di incarico di EQ a personale con rapporto a tempo parziale di durata non inferiore al 50% del rapporto a tempo pieno, ai sensi dell’art. 53, comma 3, del CCNL del 21.05.2018, il principio del riproporzionamento del trattament</w:t>
      </w:r>
      <w:r>
        <w:rPr>
          <w:rFonts w:ascii="Times New Roman" w:hAnsi="Times New Roman"/>
          <w:color w:val="000000"/>
          <w:sz w:val="24"/>
          <w:szCs w:val="24"/>
        </w:rPr>
        <w:t>o economico trova applicazione anche con riferimento alla retribuzione di posizione.</w:t>
      </w:r>
    </w:p>
    <w:sectPr w:rsidR="0009270F">
      <w:headerReference w:type="default" r:id="rId8"/>
      <w:footerReference w:type="default" r:id="rId9"/>
      <w:footerReference w:type="first" r:id="rId10"/>
      <w:pgSz w:w="11906" w:h="16838"/>
      <w:pgMar w:top="680" w:right="1418" w:bottom="680" w:left="1418" w:header="454" w:footer="567" w:gutter="0"/>
      <w:pgBorders w:offsetFrom="page">
        <w:top w:val="single" w:sz="2" w:space="22" w:color="C00000"/>
        <w:left w:val="single" w:sz="2" w:space="24" w:color="C00000"/>
        <w:bottom w:val="single" w:sz="2" w:space="24" w:color="C00000"/>
        <w:right w:val="single" w:sz="2" w:space="24" w:color="C00000"/>
      </w:pgBorders>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BBDE" w14:textId="77777777" w:rsidR="00000000" w:rsidRDefault="00E3567C">
      <w:pPr>
        <w:spacing w:after="0" w:line="240" w:lineRule="auto"/>
      </w:pPr>
      <w:r>
        <w:separator/>
      </w:r>
    </w:p>
  </w:endnote>
  <w:endnote w:type="continuationSeparator" w:id="0">
    <w:p w14:paraId="72A409E7" w14:textId="77777777" w:rsidR="00000000" w:rsidRDefault="00E3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D8A4" w14:textId="77777777" w:rsidR="0009270F" w:rsidRDefault="0009270F">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BFF5" w14:textId="77777777" w:rsidR="0009270F" w:rsidRDefault="0009270F">
    <w:pPr>
      <w:pStyle w:val="Pidipagina"/>
    </w:pPr>
  </w:p>
  <w:p w14:paraId="68AB1209" w14:textId="77777777" w:rsidR="0009270F" w:rsidRDefault="000927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A5DF" w14:textId="77777777" w:rsidR="0009270F" w:rsidRDefault="00E3567C">
      <w:pPr>
        <w:rPr>
          <w:sz w:val="12"/>
        </w:rPr>
      </w:pPr>
      <w:r>
        <w:separator/>
      </w:r>
    </w:p>
  </w:footnote>
  <w:footnote w:type="continuationSeparator" w:id="0">
    <w:p w14:paraId="7EE511D6" w14:textId="77777777" w:rsidR="0009270F" w:rsidRDefault="00E3567C">
      <w:pPr>
        <w:rPr>
          <w:sz w:val="12"/>
        </w:rPr>
      </w:pPr>
      <w:r>
        <w:continuationSeparator/>
      </w:r>
    </w:p>
  </w:footnote>
  <w:footnote w:id="1">
    <w:p w14:paraId="69C235E0" w14:textId="77777777" w:rsidR="0009270F" w:rsidRDefault="00E3567C">
      <w:pPr>
        <w:pStyle w:val="Testonotaapidipagina"/>
        <w:jc w:val="both"/>
      </w:pPr>
      <w:r>
        <w:rPr>
          <w:rStyle w:val="Caratterinotaapidipagina"/>
        </w:rPr>
        <w:footnoteRef/>
      </w:r>
      <w:r>
        <w:rPr>
          <w:rFonts w:ascii="Times New Roman" w:hAnsi="Times New Roman" w:cs="Times New Roman"/>
          <w:sz w:val="16"/>
          <w:szCs w:val="16"/>
          <w:lang w:eastAsia="it-IT"/>
        </w:rPr>
        <w:t xml:space="preserve"> </w:t>
      </w:r>
      <w:r>
        <w:rPr>
          <w:rFonts w:ascii="Times New Roman" w:hAnsi="Times New Roman" w:cs="Times New Roman"/>
          <w:sz w:val="16"/>
          <w:szCs w:val="16"/>
          <w:lang w:eastAsia="it-IT"/>
        </w:rPr>
        <w:t xml:space="preserve">Si ricorda che l’art. 19, comma 1, del medesimo CCNL del 16.11.2022 prevede, ancor più esplicitamente della previgente disciplina, quanto segue: </w:t>
      </w:r>
      <w:r>
        <w:rPr>
          <w:rFonts w:ascii="Times New Roman" w:hAnsi="Times New Roman" w:cs="Times New Roman"/>
          <w:i/>
          <w:iCs/>
          <w:sz w:val="16"/>
          <w:szCs w:val="16"/>
          <w:lang w:eastAsia="it-IT"/>
        </w:rPr>
        <w:t>Negli enti privi di personale con qualifica dirigenziale, le posizioni di responsabile di ciascuna struttura ap</w:t>
      </w:r>
      <w:r>
        <w:rPr>
          <w:rFonts w:ascii="Times New Roman" w:hAnsi="Times New Roman" w:cs="Times New Roman"/>
          <w:i/>
          <w:iCs/>
          <w:sz w:val="16"/>
          <w:szCs w:val="16"/>
          <w:lang w:eastAsia="it-IT"/>
        </w:rPr>
        <w:t>icale, secondo l’ordinamento organizzativo dell’ente, sono automaticamente individuate come posizioni di lavoro oggetto di incarichi di EQ ai sensi dell’art. 16 del presente CCNL.</w:t>
      </w:r>
    </w:p>
    <w:p w14:paraId="5A99C64A" w14:textId="77777777" w:rsidR="0009270F" w:rsidRDefault="0009270F">
      <w:pPr>
        <w:pStyle w:val="Testonotaapidipagina"/>
      </w:pPr>
    </w:p>
  </w:footnote>
  <w:footnote w:id="2">
    <w:p w14:paraId="5858DEA5" w14:textId="77777777" w:rsidR="0009270F" w:rsidRDefault="00E3567C">
      <w:pPr>
        <w:pStyle w:val="Testonotaapidipagina"/>
        <w:jc w:val="both"/>
      </w:pPr>
      <w:r>
        <w:rPr>
          <w:rStyle w:val="Caratterinotaapidipagina"/>
        </w:rPr>
        <w:footnoteRef/>
      </w:r>
      <w:r>
        <w:rPr>
          <w:rFonts w:ascii="Cambria" w:hAnsi="Cambria" w:cs="Times New Roman"/>
          <w:sz w:val="16"/>
          <w:szCs w:val="16"/>
          <w:lang w:eastAsia="it-IT"/>
        </w:rPr>
        <w:t xml:space="preserve">L’art. 23, comma 5, terzo alinea, del CCNL del 16.11.2022, prevede: </w:t>
      </w:r>
      <w:r>
        <w:rPr>
          <w:rFonts w:ascii="Cambria" w:hAnsi="Cambria" w:cs="Times New Roman"/>
          <w:i/>
          <w:iCs/>
          <w:sz w:val="16"/>
          <w:szCs w:val="16"/>
          <w:lang w:eastAsia="it-IT"/>
        </w:rPr>
        <w:t>al fin</w:t>
      </w:r>
      <w:r>
        <w:rPr>
          <w:rFonts w:ascii="Cambria" w:hAnsi="Cambria" w:cs="Times New Roman"/>
          <w:i/>
          <w:iCs/>
          <w:sz w:val="16"/>
          <w:szCs w:val="16"/>
          <w:lang w:eastAsia="it-IT"/>
        </w:rPr>
        <w:t>e di compensare la maggiore gravosità della prestazione svolta in diverse sedi di lavoro, l’ente utilizzatore può, altresì, corrispondere una maggiorazione della retribuzione di posizione attribuita, di importo non superiore al 30% della stessa, anche in e</w:t>
      </w:r>
      <w:r>
        <w:rPr>
          <w:rFonts w:ascii="Cambria" w:hAnsi="Cambria" w:cs="Times New Roman"/>
          <w:i/>
          <w:iCs/>
          <w:sz w:val="16"/>
          <w:szCs w:val="16"/>
          <w:lang w:eastAsia="it-IT"/>
        </w:rPr>
        <w:t>ccedenza al limite complessivo di cui all’art. 17, comma 2; per finalità di cooperazione istituzionale, ai relativi oneri può concorrere anche l’ente di provenienza, secondo quanto stabilito nella convenzione; tali oneri sono comunque a carico delle risors</w:t>
      </w:r>
      <w:r>
        <w:rPr>
          <w:rFonts w:ascii="Cambria" w:hAnsi="Cambria" w:cs="Times New Roman"/>
          <w:i/>
          <w:iCs/>
          <w:sz w:val="16"/>
          <w:szCs w:val="16"/>
          <w:lang w:eastAsia="it-IT"/>
        </w:rPr>
        <w:t xml:space="preserve">e di cui all’art. 79 (Fondo risorse decentrate: costituzione), stanziate presso ciascun ente </w:t>
      </w:r>
      <w:r>
        <w:rPr>
          <w:rFonts w:ascii="Cambria" w:hAnsi="Cambria" w:cs="Times New Roman"/>
          <w:sz w:val="16"/>
          <w:szCs w:val="16"/>
          <w:lang w:eastAsia="it-IT"/>
        </w:rPr>
        <w:t>[rectius: a carico delle risorse di cui all’art. 17, comma</w:t>
      </w:r>
      <w:r>
        <w:rPr>
          <w:rFonts w:ascii="Cambria" w:hAnsi="Cambria" w:cs="Times New Roman"/>
          <w:b/>
          <w:bCs/>
          <w:sz w:val="16"/>
          <w:szCs w:val="16"/>
          <w:lang w:eastAsia="it-IT"/>
        </w:rPr>
        <w:t xml:space="preserve"> </w:t>
      </w:r>
      <w:r>
        <w:rPr>
          <w:rFonts w:ascii="Cambria" w:hAnsi="Cambria" w:cs="Times New Roman"/>
          <w:sz w:val="16"/>
          <w:szCs w:val="16"/>
          <w:lang w:eastAsia="it-IT"/>
        </w:rPr>
        <w:t>6. Aran, parere n. 329/2023].</w:t>
      </w:r>
    </w:p>
    <w:p w14:paraId="64625102" w14:textId="77777777" w:rsidR="0009270F" w:rsidRDefault="0009270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5EE0" w14:textId="103981E7" w:rsidR="0009270F" w:rsidRDefault="00E3567C">
    <w:pPr>
      <w:pStyle w:val="Intestazione"/>
    </w:pPr>
    <w:r>
      <w:rPr>
        <w:noProof/>
      </w:rPr>
      <w:pict w14:anchorId="3E98C9E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orma 3" o:spid="_x0000_s2049" type="#_x0000_t13" style="position:absolute;margin-left:14.15pt;margin-top:-26.15pt;width:42.1pt;height:29.65pt;rotation:180;z-index:-503316475;visibility:visible;mso-wrap-style:square;mso-wrap-distance-left:0;mso-wrap-distance-top:0;mso-wrap-distance-right:0;mso-wrap-distance-bottom:0;mso-position-horizontal:absolute;mso-position-horizontal-relative:right-margin-area;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" adj="13620,5370" fillcolor="#c0504d" stroked="f">
          <v:textbox inset=",0,,0">
            <w:txbxContent>
              <w:sdt>
                <w:sdtPr>
                  <w:id w:val="952483052"/>
                  <w:docPartObj>
                    <w:docPartGallery w:val="Page Numbers (Margins)"/>
                    <w:docPartUnique/>
                  </w:docPartObj>
                </w:sdtPr>
                <w:sdtEndPr/>
                <w:sdtContent>
                  <w:p w14:paraId="3918CD03" w14:textId="77777777" w:rsidR="0009270F" w:rsidRDefault="00E3567C">
                    <w:pPr>
                      <w:pStyle w:val="Pidipagina"/>
                      <w:jc w:val="right"/>
                      <w:rPr>
                        <w:color w:val="FFFFFF" w:themeColor="background1"/>
                      </w:rPr>
                    </w:pPr>
                    <w:r>
                      <w:rPr>
                        <w:color w:val="FFFFFF"/>
                      </w:rPr>
                      <w:fldChar w:fldCharType="begin"/>
                    </w:r>
                    <w:r>
                      <w:rPr>
                        <w:color w:val="FFFFFF"/>
                      </w:rPr>
                      <w:instrText>PAGE</w:instrText>
                    </w:r>
                    <w:r>
                      <w:rPr>
                        <w:color w:val="FFFFFF"/>
                      </w:rPr>
                      <w:fldChar w:fldCharType="separate"/>
                    </w:r>
                    <w:r>
                      <w:rPr>
                        <w:color w:val="FFFFFF"/>
                      </w:rPr>
                      <w:t>5</w:t>
                    </w:r>
                    <w:r>
                      <w:rPr>
                        <w:color w:val="FFFFFF"/>
                      </w:rPr>
                      <w:fldChar w:fldCharType="end"/>
                    </w:r>
                  </w:p>
                  <w:p w14:paraId="077DBB5E" w14:textId="77777777" w:rsidR="0009270F" w:rsidRDefault="00E3567C">
                    <w:pPr>
                      <w:pStyle w:val="Contenutocornice"/>
                    </w:pPr>
                  </w:p>
                </w:sdtContent>
              </w:sdt>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8AC"/>
    <w:multiLevelType w:val="multilevel"/>
    <w:tmpl w:val="DAE04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536897"/>
    <w:multiLevelType w:val="multilevel"/>
    <w:tmpl w:val="80362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D56385"/>
    <w:multiLevelType w:val="multilevel"/>
    <w:tmpl w:val="429251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3159366">
    <w:abstractNumId w:val="1"/>
  </w:num>
  <w:num w:numId="2" w16cid:durableId="851181927">
    <w:abstractNumId w:val="0"/>
  </w:num>
  <w:num w:numId="3" w16cid:durableId="754014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9270F"/>
    <w:rsid w:val="0009270F"/>
    <w:rsid w:val="00E356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CF08FA"/>
  <w15:docId w15:val="{93D74221-EF91-46E0-9F8B-E4E3C60E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4E2E"/>
    <w:pPr>
      <w:spacing w:after="160" w:line="259" w:lineRule="auto"/>
    </w:pPr>
    <w:rPr>
      <w:sz w:val="22"/>
    </w:rPr>
  </w:style>
  <w:style w:type="paragraph" w:styleId="Titolo1">
    <w:name w:val="heading 1"/>
    <w:basedOn w:val="Normale"/>
    <w:next w:val="Normale"/>
    <w:link w:val="Titolo1Carattere"/>
    <w:uiPriority w:val="9"/>
    <w:qFormat/>
    <w:rsid w:val="004B5B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468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4B5BB2"/>
    <w:rPr>
      <w:rFonts w:asciiTheme="majorHAnsi" w:eastAsiaTheme="majorEastAsia" w:hAnsiTheme="majorHAnsi" w:cstheme="majorBidi"/>
      <w:color w:val="2E74B5" w:themeColor="accent1" w:themeShade="BF"/>
      <w:sz w:val="32"/>
      <w:szCs w:val="32"/>
    </w:rPr>
  </w:style>
  <w:style w:type="character" w:customStyle="1" w:styleId="TestonotaapidipaginaCarattere">
    <w:name w:val="Testo nota a piè di pagina Carattere"/>
    <w:basedOn w:val="Carpredefinitoparagrafo"/>
    <w:link w:val="Testonotaapidipagina"/>
    <w:uiPriority w:val="99"/>
    <w:qFormat/>
    <w:rsid w:val="005D4FCE"/>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semiHidden/>
    <w:unhideWhenUsed/>
    <w:qFormat/>
    <w:rsid w:val="005D4FCE"/>
    <w:rPr>
      <w:vertAlign w:val="superscript"/>
    </w:rPr>
  </w:style>
  <w:style w:type="character" w:customStyle="1" w:styleId="IntestazioneCarattere">
    <w:name w:val="Intestazione Carattere"/>
    <w:basedOn w:val="Carpredefinitoparagrafo"/>
    <w:link w:val="Intestazione"/>
    <w:uiPriority w:val="99"/>
    <w:qFormat/>
    <w:rsid w:val="00C1075B"/>
  </w:style>
  <w:style w:type="character" w:customStyle="1" w:styleId="PidipaginaCarattere">
    <w:name w:val="Piè di pagina Carattere"/>
    <w:basedOn w:val="Carpredefinitoparagrafo"/>
    <w:link w:val="Pidipagina"/>
    <w:uiPriority w:val="99"/>
    <w:qFormat/>
    <w:rsid w:val="00C1075B"/>
  </w:style>
  <w:style w:type="character" w:customStyle="1" w:styleId="Titolo2Carattere">
    <w:name w:val="Titolo 2 Carattere"/>
    <w:basedOn w:val="Carpredefinitoparagrafo"/>
    <w:link w:val="Titolo2"/>
    <w:uiPriority w:val="9"/>
    <w:qFormat/>
    <w:rsid w:val="0034682A"/>
    <w:rPr>
      <w:rFonts w:asciiTheme="majorHAnsi" w:eastAsiaTheme="majorEastAsia" w:hAnsiTheme="majorHAnsi" w:cstheme="majorBidi"/>
      <w:color w:val="2E74B5" w:themeColor="accent1" w:themeShade="BF"/>
      <w:sz w:val="26"/>
      <w:szCs w:val="26"/>
    </w:rPr>
  </w:style>
  <w:style w:type="character" w:customStyle="1" w:styleId="CollegamentoInternet">
    <w:name w:val="Collegamento Internet"/>
    <w:basedOn w:val="Carpredefinitoparagrafo"/>
    <w:uiPriority w:val="99"/>
    <w:unhideWhenUsed/>
    <w:rsid w:val="003055EF"/>
    <w:rPr>
      <w:color w:val="0563C1" w:themeColor="hyperlink"/>
      <w:u w:val="single"/>
    </w:rPr>
  </w:style>
  <w:style w:type="character" w:customStyle="1" w:styleId="apple-style-span">
    <w:name w:val="apple-style-span"/>
    <w:basedOn w:val="Carpredefinitoparagrafo"/>
    <w:qFormat/>
    <w:rsid w:val="00373458"/>
  </w:style>
  <w:style w:type="character" w:customStyle="1" w:styleId="apple-converted-space">
    <w:name w:val="apple-converted-space"/>
    <w:basedOn w:val="Carpredefinitoparagrafo"/>
    <w:qFormat/>
    <w:rsid w:val="00373458"/>
  </w:style>
  <w:style w:type="character" w:customStyle="1" w:styleId="CollegamentoInternetvisitato">
    <w:name w:val="Collegamento Internet visitato"/>
    <w:basedOn w:val="Carpredefinitoparagrafo"/>
    <w:uiPriority w:val="99"/>
    <w:semiHidden/>
    <w:unhideWhenUsed/>
    <w:rsid w:val="00EB19F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A3149"/>
    <w:rPr>
      <w:rFonts w:ascii="Tahoma" w:hAnsi="Tahoma" w:cs="Tahoma"/>
      <w:sz w:val="16"/>
      <w:szCs w:val="16"/>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D4FCE"/>
    <w:pPr>
      <w:spacing w:after="0" w:line="240" w:lineRule="auto"/>
    </w:pPr>
    <w:rPr>
      <w:sz w:val="20"/>
      <w:szCs w:val="20"/>
    </w:rPr>
  </w:style>
  <w:style w:type="paragraph" w:styleId="Paragrafoelenco">
    <w:name w:val="List Paragraph"/>
    <w:basedOn w:val="Normale"/>
    <w:uiPriority w:val="34"/>
    <w:qFormat/>
    <w:rsid w:val="004E0B15"/>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1075B"/>
    <w:pPr>
      <w:tabs>
        <w:tab w:val="center" w:pos="4819"/>
        <w:tab w:val="right" w:pos="9638"/>
      </w:tabs>
      <w:spacing w:after="0" w:line="240" w:lineRule="auto"/>
    </w:pPr>
  </w:style>
  <w:style w:type="paragraph" w:styleId="Pidipagina">
    <w:name w:val="footer"/>
    <w:basedOn w:val="Normale"/>
    <w:link w:val="PidipaginaCarattere"/>
    <w:uiPriority w:val="99"/>
    <w:unhideWhenUsed/>
    <w:rsid w:val="00C1075B"/>
    <w:pPr>
      <w:tabs>
        <w:tab w:val="center" w:pos="4819"/>
        <w:tab w:val="right" w:pos="9638"/>
      </w:tabs>
      <w:spacing w:after="0" w:line="240" w:lineRule="auto"/>
    </w:pPr>
  </w:style>
  <w:style w:type="paragraph" w:styleId="NormaleWeb">
    <w:name w:val="Normal (Web)"/>
    <w:basedOn w:val="Normale"/>
    <w:uiPriority w:val="99"/>
    <w:semiHidden/>
    <w:unhideWhenUsed/>
    <w:qFormat/>
    <w:rsid w:val="006E7372"/>
    <w:pPr>
      <w:spacing w:beforeAutospacing="1" w:afterAutospacing="1" w:line="240" w:lineRule="auto"/>
    </w:pPr>
    <w:rPr>
      <w:rFonts w:ascii="Times New Roman" w:eastAsiaTheme="minorEastAsia" w:hAnsi="Times New Roman" w:cs="Times New Roman"/>
      <w:sz w:val="24"/>
      <w:szCs w:val="24"/>
      <w:lang w:eastAsia="it-IT"/>
    </w:rPr>
  </w:style>
  <w:style w:type="paragraph" w:styleId="Titolosommario">
    <w:name w:val="TOC Heading"/>
    <w:basedOn w:val="Titolo1"/>
    <w:next w:val="Normale"/>
    <w:uiPriority w:val="39"/>
    <w:unhideWhenUsed/>
    <w:qFormat/>
    <w:rsid w:val="003055EF"/>
    <w:rPr>
      <w:lang w:eastAsia="it-IT"/>
    </w:rPr>
  </w:style>
  <w:style w:type="paragraph" w:styleId="Sommario1">
    <w:name w:val="toc 1"/>
    <w:basedOn w:val="Normale"/>
    <w:next w:val="Normale"/>
    <w:autoRedefine/>
    <w:uiPriority w:val="39"/>
    <w:unhideWhenUsed/>
    <w:rsid w:val="003055EF"/>
    <w:pPr>
      <w:spacing w:after="100"/>
    </w:pPr>
  </w:style>
  <w:style w:type="paragraph" w:styleId="Sommario2">
    <w:name w:val="toc 2"/>
    <w:basedOn w:val="Normale"/>
    <w:next w:val="Normale"/>
    <w:autoRedefine/>
    <w:uiPriority w:val="39"/>
    <w:unhideWhenUsed/>
    <w:rsid w:val="003055EF"/>
    <w:pPr>
      <w:spacing w:after="100"/>
      <w:ind w:left="220"/>
    </w:pPr>
  </w:style>
  <w:style w:type="paragraph" w:styleId="Testofumetto">
    <w:name w:val="Balloon Text"/>
    <w:basedOn w:val="Normale"/>
    <w:link w:val="TestofumettoCarattere"/>
    <w:uiPriority w:val="99"/>
    <w:semiHidden/>
    <w:unhideWhenUsed/>
    <w:qFormat/>
    <w:rsid w:val="005A3149"/>
    <w:pPr>
      <w:spacing w:after="0" w:line="240" w:lineRule="auto"/>
    </w:pPr>
    <w:rPr>
      <w:rFonts w:ascii="Tahoma" w:hAnsi="Tahoma" w:cs="Tahoma"/>
      <w:sz w:val="16"/>
      <w:szCs w:val="16"/>
    </w:rPr>
  </w:style>
  <w:style w:type="paragraph" w:customStyle="1" w:styleId="Contenutocornice">
    <w:name w:val="Contenuto cornice"/>
    <w:basedOn w:val="Normale"/>
    <w:qFormat/>
  </w:style>
  <w:style w:type="paragraph" w:customStyle="1" w:styleId="Tabellanormale1">
    <w:name w:val="Tabella normale1"/>
    <w:qFormat/>
    <w:pPr>
      <w:spacing w:after="160" w:line="259" w:lineRule="auto"/>
    </w:pPr>
    <w:rPr>
      <w:rFonts w:ascii="Times New Roman" w:eastAsia="Cambria" w:hAnsi="Times New Roman" w:cs="Times New Roman"/>
      <w:szCs w:val="20"/>
      <w:lang w:eastAsia="it-IT"/>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Tabellasemplice-11">
    <w:name w:val="Tabella semplice - 11"/>
    <w:basedOn w:val="Tabellanormale"/>
    <w:uiPriority w:val="41"/>
    <w:rsid w:val="00D71A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
    <w:name w:val="Table Grid"/>
    <w:basedOn w:val="Tabellanormale"/>
    <w:uiPriority w:val="39"/>
    <w:rsid w:val="00CB2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31">
    <w:name w:val="Tabella griglia 5 scura - colore 31"/>
    <w:basedOn w:val="Tabellanormale"/>
    <w:uiPriority w:val="50"/>
    <w:rsid w:val="000B5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E044A-AB2A-4E33-8C0B-BEA54332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1608</Words>
  <Characters>9171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Comune Robbio</cp:lastModifiedBy>
  <cp:revision>10</cp:revision>
  <cp:lastPrinted>2023-06-13T16:08:00Z</cp:lastPrinted>
  <dcterms:created xsi:type="dcterms:W3CDTF">2018-12-10T15:58:00Z</dcterms:created>
  <dcterms:modified xsi:type="dcterms:W3CDTF">2023-06-21T11:33:00Z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