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2A0F6" w14:textId="77777777" w:rsidR="00FE6944" w:rsidRDefault="00FE6944">
      <w:pPr>
        <w:spacing w:after="0" w:line="240" w:lineRule="auto"/>
        <w:jc w:val="center"/>
        <w:rPr>
          <w:rFonts w:ascii="Cambria" w:hAnsi="Cambria"/>
        </w:rPr>
      </w:pPr>
    </w:p>
    <w:p w14:paraId="16C5E645" w14:textId="77777777" w:rsidR="00FE6944" w:rsidRDefault="00FE6944">
      <w:pPr>
        <w:spacing w:after="0" w:line="240" w:lineRule="auto"/>
        <w:jc w:val="center"/>
        <w:rPr>
          <w:rFonts w:ascii="Cambria" w:hAnsi="Cambria"/>
          <w:sz w:val="36"/>
          <w:szCs w:val="36"/>
        </w:rPr>
      </w:pPr>
    </w:p>
    <w:p w14:paraId="411FA3EE" w14:textId="77777777" w:rsidR="00FE6944" w:rsidRDefault="001B71AF">
      <w:pPr>
        <w:spacing w:after="0" w:line="240" w:lineRule="auto"/>
        <w:jc w:val="center"/>
        <w:rPr>
          <w:rFonts w:ascii="Cambria" w:hAnsi="Cambria"/>
          <w:sz w:val="36"/>
          <w:szCs w:val="36"/>
        </w:rPr>
      </w:pPr>
      <w:r>
        <w:rPr>
          <w:rFonts w:ascii="Cambria" w:hAnsi="Cambria"/>
          <w:sz w:val="36"/>
          <w:szCs w:val="36"/>
        </w:rPr>
        <w:t>COMUNE DI ROBBIO</w:t>
      </w:r>
    </w:p>
    <w:p w14:paraId="75E0CA82" w14:textId="77777777" w:rsidR="00FE6944" w:rsidRDefault="00FE6944">
      <w:pPr>
        <w:spacing w:after="0" w:line="240" w:lineRule="auto"/>
        <w:jc w:val="center"/>
        <w:rPr>
          <w:rFonts w:ascii="Cambria" w:hAnsi="Cambria"/>
          <w:sz w:val="36"/>
          <w:szCs w:val="36"/>
        </w:rPr>
      </w:pPr>
    </w:p>
    <w:p w14:paraId="4BC5D064" w14:textId="77777777" w:rsidR="00FE6944" w:rsidRDefault="001B71AF">
      <w:pPr>
        <w:spacing w:after="0" w:line="240" w:lineRule="auto"/>
        <w:jc w:val="center"/>
        <w:rPr>
          <w:rFonts w:ascii="Cambria" w:hAnsi="Cambria"/>
          <w:sz w:val="36"/>
          <w:szCs w:val="36"/>
        </w:rPr>
      </w:pPr>
      <w:r>
        <w:rPr>
          <w:rFonts w:ascii="Cambria" w:hAnsi="Cambria"/>
          <w:sz w:val="36"/>
          <w:szCs w:val="36"/>
        </w:rPr>
        <w:t>PROVINCIA DI PAVIA</w:t>
      </w:r>
    </w:p>
    <w:p w14:paraId="7ED86D35" w14:textId="77777777" w:rsidR="00FE6944" w:rsidRDefault="00FE6944">
      <w:pPr>
        <w:spacing w:after="0" w:line="240" w:lineRule="auto"/>
        <w:jc w:val="center"/>
        <w:rPr>
          <w:rFonts w:ascii="Cambria" w:hAnsi="Cambria"/>
          <w:sz w:val="36"/>
          <w:szCs w:val="36"/>
        </w:rPr>
      </w:pPr>
    </w:p>
    <w:p w14:paraId="4FE28523" w14:textId="77777777" w:rsidR="00FE6944" w:rsidRDefault="00FE6944">
      <w:pPr>
        <w:spacing w:after="0" w:line="240" w:lineRule="auto"/>
        <w:jc w:val="center"/>
        <w:rPr>
          <w:rFonts w:ascii="Cambria" w:hAnsi="Cambria"/>
          <w:sz w:val="36"/>
          <w:szCs w:val="36"/>
        </w:rPr>
      </w:pPr>
    </w:p>
    <w:p w14:paraId="401A655C" w14:textId="77777777" w:rsidR="00FE6944" w:rsidRDefault="00FE6944">
      <w:pPr>
        <w:spacing w:after="0" w:line="240" w:lineRule="auto"/>
        <w:jc w:val="center"/>
        <w:rPr>
          <w:rFonts w:ascii="Cambria" w:hAnsi="Cambria"/>
        </w:rPr>
      </w:pPr>
    </w:p>
    <w:p w14:paraId="4FAF4580" w14:textId="77777777" w:rsidR="00FE6944" w:rsidRDefault="00FE6944">
      <w:pPr>
        <w:spacing w:after="0" w:line="240" w:lineRule="auto"/>
        <w:jc w:val="center"/>
        <w:rPr>
          <w:rFonts w:ascii="Cambria" w:hAnsi="Cambria"/>
        </w:rPr>
      </w:pPr>
    </w:p>
    <w:p w14:paraId="120A197E" w14:textId="77777777" w:rsidR="00FE6944" w:rsidRDefault="00FE6944">
      <w:pPr>
        <w:spacing w:after="0" w:line="240" w:lineRule="auto"/>
        <w:jc w:val="center"/>
        <w:rPr>
          <w:rFonts w:ascii="Cambria" w:hAnsi="Cambria"/>
        </w:rPr>
      </w:pPr>
    </w:p>
    <w:p w14:paraId="2880B005" w14:textId="77777777" w:rsidR="00FE6944" w:rsidRDefault="00FE6944">
      <w:pPr>
        <w:spacing w:after="0" w:line="240" w:lineRule="auto"/>
        <w:jc w:val="center"/>
        <w:rPr>
          <w:rFonts w:ascii="Cambria" w:hAnsi="Cambria"/>
        </w:rPr>
      </w:pPr>
    </w:p>
    <w:p w14:paraId="6BED80F6" w14:textId="77777777" w:rsidR="00FE6944" w:rsidRDefault="00FE6944">
      <w:pPr>
        <w:spacing w:after="0" w:line="240" w:lineRule="auto"/>
        <w:jc w:val="center"/>
        <w:rPr>
          <w:rFonts w:ascii="Cambria" w:hAnsi="Cambria"/>
        </w:rPr>
      </w:pPr>
    </w:p>
    <w:p w14:paraId="117952B5" w14:textId="77777777" w:rsidR="00FE6944" w:rsidRDefault="00FE6944">
      <w:pPr>
        <w:pStyle w:val="Titolo1"/>
        <w:spacing w:before="0" w:line="240" w:lineRule="auto"/>
        <w:jc w:val="center"/>
        <w:rPr>
          <w:rFonts w:ascii="Cambria" w:hAnsi="Cambria"/>
          <w:color w:val="auto"/>
          <w:sz w:val="22"/>
          <w:szCs w:val="22"/>
        </w:rPr>
      </w:pPr>
    </w:p>
    <w:p w14:paraId="7666AE9C" w14:textId="77777777" w:rsidR="00FE6944" w:rsidRDefault="00FE6944">
      <w:pPr>
        <w:spacing w:after="0" w:line="240" w:lineRule="auto"/>
        <w:jc w:val="center"/>
        <w:rPr>
          <w:rFonts w:ascii="Cambria" w:hAnsi="Cambria"/>
        </w:rPr>
      </w:pPr>
    </w:p>
    <w:p w14:paraId="5C45941A" w14:textId="77777777" w:rsidR="00FE6944" w:rsidRDefault="00FE6944">
      <w:pPr>
        <w:spacing w:after="0" w:line="240" w:lineRule="auto"/>
        <w:jc w:val="center"/>
        <w:rPr>
          <w:rFonts w:ascii="Cambria" w:hAnsi="Cambria"/>
        </w:rPr>
      </w:pPr>
    </w:p>
    <w:p w14:paraId="744F85FB" w14:textId="77777777" w:rsidR="00FE6944" w:rsidRDefault="001B71AF">
      <w:pPr>
        <w:pStyle w:val="Titolo1"/>
        <w:spacing w:before="0" w:line="240" w:lineRule="auto"/>
        <w:jc w:val="center"/>
        <w:rPr>
          <w:rFonts w:ascii="Cambria" w:eastAsia="Calibri" w:hAnsi="Cambria" w:cs="Times New Roman"/>
          <w:b/>
          <w:color w:val="9A0000"/>
          <w:w w:val="150"/>
          <w:sz w:val="48"/>
          <w:szCs w:val="48"/>
        </w:rPr>
      </w:pPr>
      <w:r>
        <w:rPr>
          <w:rFonts w:ascii="Cambria" w:eastAsia="Calibri" w:hAnsi="Cambria" w:cs="Times New Roman"/>
          <w:b/>
          <w:color w:val="9A0000"/>
          <w:w w:val="150"/>
          <w:sz w:val="48"/>
          <w:szCs w:val="48"/>
        </w:rPr>
        <w:t>LA VALUTAZIONE</w:t>
      </w:r>
    </w:p>
    <w:p w14:paraId="29D3D48A" w14:textId="77777777" w:rsidR="00FE6944" w:rsidRDefault="001B71AF">
      <w:pPr>
        <w:pStyle w:val="Titolo1"/>
        <w:spacing w:before="0" w:line="240" w:lineRule="auto"/>
        <w:jc w:val="center"/>
        <w:rPr>
          <w:rFonts w:ascii="Cambria" w:eastAsia="Calibri" w:hAnsi="Cambria" w:cs="Times New Roman"/>
          <w:b/>
          <w:color w:val="9A0000"/>
          <w:sz w:val="40"/>
          <w:szCs w:val="40"/>
        </w:rPr>
      </w:pPr>
      <w:r>
        <w:rPr>
          <w:rFonts w:ascii="Cambria" w:eastAsia="Calibri" w:hAnsi="Cambria" w:cs="Times New Roman"/>
          <w:b/>
          <w:color w:val="9A0000"/>
          <w:w w:val="150"/>
          <w:sz w:val="48"/>
          <w:szCs w:val="48"/>
        </w:rPr>
        <w:t>DELLA PERFORMANCE</w:t>
      </w:r>
    </w:p>
    <w:p w14:paraId="3E8D6A68" w14:textId="77777777" w:rsidR="00FE6944" w:rsidRDefault="00FE6944">
      <w:pPr>
        <w:spacing w:after="0" w:line="240" w:lineRule="auto"/>
        <w:jc w:val="center"/>
        <w:rPr>
          <w:rFonts w:ascii="Cambria" w:hAnsi="Cambria"/>
        </w:rPr>
      </w:pPr>
    </w:p>
    <w:p w14:paraId="5237DB11" w14:textId="77777777" w:rsidR="00FE6944" w:rsidRDefault="001B71AF">
      <w:pPr>
        <w:spacing w:after="0" w:line="240" w:lineRule="auto"/>
        <w:jc w:val="center"/>
        <w:rPr>
          <w:rFonts w:ascii="Cambria" w:hAnsi="Cambria"/>
        </w:rPr>
      </w:pPr>
      <w:r>
        <w:rPr>
          <w:rFonts w:ascii="Cambria" w:hAnsi="Cambria"/>
        </w:rPr>
        <w:t xml:space="preserve">Approvato con deliberazione di Giunta Comunale n. </w:t>
      </w:r>
    </w:p>
    <w:p w14:paraId="43DBF95C" w14:textId="77777777" w:rsidR="00FE6944" w:rsidRDefault="00FE6944">
      <w:pPr>
        <w:spacing w:after="0" w:line="240" w:lineRule="auto"/>
        <w:jc w:val="center"/>
        <w:rPr>
          <w:rFonts w:ascii="Cambria" w:hAnsi="Cambria"/>
        </w:rPr>
      </w:pPr>
    </w:p>
    <w:p w14:paraId="68FA249F" w14:textId="77777777" w:rsidR="00FE6944" w:rsidRDefault="00FE6944">
      <w:pPr>
        <w:spacing w:after="0" w:line="240" w:lineRule="auto"/>
        <w:jc w:val="center"/>
        <w:rPr>
          <w:rFonts w:ascii="Cambria" w:hAnsi="Cambria"/>
        </w:rPr>
      </w:pPr>
    </w:p>
    <w:p w14:paraId="5F5BDEAC" w14:textId="77777777" w:rsidR="00FE6944" w:rsidRDefault="00FE6944">
      <w:pPr>
        <w:spacing w:after="0" w:line="240" w:lineRule="auto"/>
        <w:jc w:val="center"/>
        <w:rPr>
          <w:rFonts w:ascii="Cambria" w:hAnsi="Cambria"/>
        </w:rPr>
      </w:pPr>
    </w:p>
    <w:p w14:paraId="627A5070" w14:textId="77777777" w:rsidR="00FE6944" w:rsidRDefault="00FE6944">
      <w:pPr>
        <w:spacing w:after="0" w:line="240" w:lineRule="auto"/>
        <w:jc w:val="center"/>
        <w:rPr>
          <w:rFonts w:ascii="Cambria" w:hAnsi="Cambria"/>
        </w:rPr>
      </w:pPr>
    </w:p>
    <w:p w14:paraId="096CBE5E" w14:textId="77777777" w:rsidR="00FE6944" w:rsidRDefault="00FE6944">
      <w:pPr>
        <w:spacing w:after="0" w:line="240" w:lineRule="auto"/>
        <w:jc w:val="center"/>
        <w:rPr>
          <w:rFonts w:ascii="Cambria" w:hAnsi="Cambria"/>
        </w:rPr>
      </w:pPr>
    </w:p>
    <w:p w14:paraId="2BCFE248" w14:textId="77777777" w:rsidR="00FE6944" w:rsidRDefault="00FE6944">
      <w:pPr>
        <w:spacing w:after="0" w:line="240" w:lineRule="auto"/>
        <w:jc w:val="center"/>
        <w:rPr>
          <w:rFonts w:ascii="Cambria" w:hAnsi="Cambria"/>
        </w:rPr>
      </w:pPr>
    </w:p>
    <w:tbl>
      <w:tblPr>
        <w:tblStyle w:val="Grigliatabella"/>
        <w:tblW w:w="8035" w:type="dxa"/>
        <w:jc w:val="center"/>
        <w:tblCellMar>
          <w:top w:w="142" w:type="dxa"/>
          <w:left w:w="340" w:type="dxa"/>
          <w:bottom w:w="142" w:type="dxa"/>
          <w:right w:w="340" w:type="dxa"/>
        </w:tblCellMar>
        <w:tblLook w:val="04A0" w:firstRow="1" w:lastRow="0" w:firstColumn="1" w:lastColumn="0" w:noHBand="0" w:noVBand="1"/>
      </w:tblPr>
      <w:tblGrid>
        <w:gridCol w:w="8035"/>
      </w:tblGrid>
      <w:tr w:rsidR="00FE6944" w14:paraId="4502FA6D" w14:textId="77777777">
        <w:trPr>
          <w:jc w:val="center"/>
        </w:trPr>
        <w:tc>
          <w:tcPr>
            <w:tcW w:w="8035" w:type="dxa"/>
          </w:tcPr>
          <w:p w14:paraId="6128BE98" w14:textId="77777777" w:rsidR="00FE6944" w:rsidRDefault="001B71AF">
            <w:pPr>
              <w:pStyle w:val="Titolo1"/>
              <w:spacing w:before="0" w:line="240" w:lineRule="auto"/>
              <w:jc w:val="center"/>
              <w:rPr>
                <w:rFonts w:ascii="Cambria" w:hAnsi="Cambria"/>
                <w:b/>
                <w:color w:val="990000"/>
                <w:sz w:val="30"/>
                <w:szCs w:val="30"/>
              </w:rPr>
            </w:pPr>
            <w:r>
              <w:rPr>
                <w:rFonts w:ascii="Cambria" w:hAnsi="Cambria"/>
                <w:b/>
                <w:color w:val="990000"/>
                <w:sz w:val="30"/>
                <w:szCs w:val="30"/>
              </w:rPr>
              <w:t>Sommario</w:t>
            </w:r>
          </w:p>
          <w:p w14:paraId="7324B045" w14:textId="77777777" w:rsidR="00FE6944" w:rsidRDefault="001B71AF">
            <w:pPr>
              <w:spacing w:before="120" w:after="0" w:line="240" w:lineRule="auto"/>
              <w:jc w:val="both"/>
              <w:rPr>
                <w:rFonts w:ascii="Cambria" w:hAnsi="Cambria"/>
                <w:sz w:val="24"/>
                <w:szCs w:val="24"/>
              </w:rPr>
            </w:pPr>
            <w:r>
              <w:rPr>
                <w:rFonts w:ascii="Cambria" w:hAnsi="Cambria"/>
                <w:sz w:val="24"/>
                <w:szCs w:val="24"/>
              </w:rPr>
              <w:t>Introduzione</w:t>
            </w:r>
          </w:p>
          <w:p w14:paraId="618B4C36" w14:textId="77777777" w:rsidR="00FE6944" w:rsidRDefault="001B71AF">
            <w:pPr>
              <w:spacing w:before="120" w:after="0" w:line="240" w:lineRule="auto"/>
              <w:jc w:val="both"/>
              <w:rPr>
                <w:rFonts w:ascii="Cambria" w:hAnsi="Cambria"/>
                <w:sz w:val="24"/>
                <w:szCs w:val="24"/>
              </w:rPr>
            </w:pPr>
            <w:r>
              <w:rPr>
                <w:rFonts w:ascii="Cambria" w:hAnsi="Cambria"/>
                <w:sz w:val="24"/>
                <w:szCs w:val="24"/>
              </w:rPr>
              <w:t>LA PERFORMANCE ORGANIZZATIVA</w:t>
            </w:r>
          </w:p>
          <w:p w14:paraId="37F7AB47" w14:textId="77777777" w:rsidR="00FE6944" w:rsidRDefault="001B71AF">
            <w:pPr>
              <w:spacing w:before="120" w:after="0" w:line="240" w:lineRule="auto"/>
              <w:jc w:val="both"/>
              <w:rPr>
                <w:rFonts w:ascii="Cambria" w:hAnsi="Cambria"/>
                <w:sz w:val="24"/>
                <w:szCs w:val="24"/>
              </w:rPr>
            </w:pPr>
            <w:r>
              <w:rPr>
                <w:rFonts w:ascii="Cambria" w:hAnsi="Cambria"/>
                <w:sz w:val="24"/>
                <w:szCs w:val="24"/>
              </w:rPr>
              <w:t>LA PERFORMANCE INDIVIDUALE</w:t>
            </w:r>
          </w:p>
          <w:p w14:paraId="33729FB5" w14:textId="77777777" w:rsidR="00FE6944" w:rsidRDefault="001B71AF">
            <w:pPr>
              <w:spacing w:before="80" w:after="0" w:line="240" w:lineRule="auto"/>
              <w:ind w:left="284" w:hanging="284"/>
              <w:jc w:val="both"/>
              <w:rPr>
                <w:rFonts w:ascii="Cambria" w:hAnsi="Cambria"/>
                <w:sz w:val="24"/>
                <w:szCs w:val="24"/>
              </w:rPr>
            </w:pPr>
            <w:r>
              <w:rPr>
                <w:rFonts w:ascii="Cambria" w:hAnsi="Cambria"/>
                <w:sz w:val="24"/>
                <w:szCs w:val="24"/>
              </w:rPr>
              <w:t>1.</w:t>
            </w:r>
            <w:r>
              <w:rPr>
                <w:rFonts w:ascii="Cambria" w:hAnsi="Cambria"/>
                <w:sz w:val="24"/>
                <w:szCs w:val="24"/>
              </w:rPr>
              <w:tab/>
              <w:t>Contenuti ed ambiti</w:t>
            </w:r>
          </w:p>
          <w:p w14:paraId="4F659F38" w14:textId="77777777" w:rsidR="00FE6944" w:rsidRDefault="001B71AF">
            <w:pPr>
              <w:spacing w:after="0" w:line="240" w:lineRule="auto"/>
              <w:ind w:left="284"/>
              <w:jc w:val="both"/>
              <w:rPr>
                <w:rFonts w:ascii="Cambria" w:hAnsi="Cambria"/>
                <w:sz w:val="24"/>
                <w:szCs w:val="24"/>
              </w:rPr>
            </w:pPr>
            <w:r>
              <w:rPr>
                <w:rFonts w:ascii="Cambria" w:hAnsi="Cambria"/>
                <w:sz w:val="24"/>
                <w:szCs w:val="24"/>
              </w:rPr>
              <w:t xml:space="preserve">1.1. I </w:t>
            </w:r>
            <w:r>
              <w:rPr>
                <w:rFonts w:ascii="Cambria" w:hAnsi="Cambria"/>
                <w:sz w:val="24"/>
                <w:szCs w:val="24"/>
              </w:rPr>
              <w:t>fattori di apprezzamento</w:t>
            </w:r>
          </w:p>
          <w:p w14:paraId="089A1797" w14:textId="77777777" w:rsidR="00FE6944" w:rsidRDefault="001B71AF">
            <w:pPr>
              <w:spacing w:after="0" w:line="240" w:lineRule="auto"/>
              <w:ind w:left="284"/>
              <w:jc w:val="both"/>
              <w:rPr>
                <w:rFonts w:ascii="Cambria" w:hAnsi="Cambria"/>
                <w:sz w:val="24"/>
                <w:szCs w:val="24"/>
              </w:rPr>
            </w:pPr>
            <w:r>
              <w:rPr>
                <w:rFonts w:ascii="Cambria" w:hAnsi="Cambria"/>
                <w:sz w:val="24"/>
                <w:szCs w:val="24"/>
              </w:rPr>
              <w:t>1.2. Il contesto</w:t>
            </w:r>
          </w:p>
          <w:p w14:paraId="1A87B315" w14:textId="77777777" w:rsidR="00FE6944" w:rsidRDefault="001B71AF">
            <w:pPr>
              <w:spacing w:before="80" w:after="0" w:line="240" w:lineRule="auto"/>
              <w:ind w:left="284" w:hanging="284"/>
              <w:jc w:val="both"/>
              <w:rPr>
                <w:rFonts w:ascii="Cambria" w:hAnsi="Cambria"/>
                <w:sz w:val="24"/>
                <w:szCs w:val="24"/>
              </w:rPr>
            </w:pPr>
            <w:r>
              <w:rPr>
                <w:rFonts w:ascii="Cambria" w:hAnsi="Cambria"/>
                <w:sz w:val="24"/>
                <w:szCs w:val="24"/>
              </w:rPr>
              <w:t>2.</w:t>
            </w:r>
            <w:r>
              <w:rPr>
                <w:rFonts w:ascii="Cambria" w:hAnsi="Cambria"/>
                <w:sz w:val="24"/>
                <w:szCs w:val="24"/>
              </w:rPr>
              <w:tab/>
              <w:t>Il soggetti competenti per la valutazione</w:t>
            </w:r>
          </w:p>
          <w:p w14:paraId="62EDDB15" w14:textId="77777777" w:rsidR="00FE6944" w:rsidRDefault="001B71AF">
            <w:pPr>
              <w:spacing w:before="80" w:after="0" w:line="240" w:lineRule="auto"/>
              <w:ind w:left="284" w:hanging="284"/>
              <w:jc w:val="both"/>
              <w:rPr>
                <w:rFonts w:ascii="Cambria" w:hAnsi="Cambria"/>
                <w:sz w:val="24"/>
                <w:szCs w:val="24"/>
              </w:rPr>
            </w:pPr>
            <w:r>
              <w:rPr>
                <w:rFonts w:ascii="Cambria" w:hAnsi="Cambria"/>
                <w:sz w:val="24"/>
                <w:szCs w:val="24"/>
              </w:rPr>
              <w:t>3.</w:t>
            </w:r>
            <w:r>
              <w:rPr>
                <w:rFonts w:ascii="Cambria" w:hAnsi="Cambria"/>
                <w:sz w:val="24"/>
                <w:szCs w:val="24"/>
              </w:rPr>
              <w:tab/>
              <w:t>Il processo di valutazione</w:t>
            </w:r>
          </w:p>
          <w:p w14:paraId="59FAA625" w14:textId="77777777" w:rsidR="00FE6944" w:rsidRDefault="001B71AF">
            <w:pPr>
              <w:spacing w:before="80" w:after="0" w:line="240" w:lineRule="auto"/>
              <w:ind w:left="284" w:hanging="284"/>
              <w:jc w:val="both"/>
              <w:rPr>
                <w:rFonts w:ascii="Cambria" w:hAnsi="Cambria"/>
                <w:sz w:val="24"/>
                <w:szCs w:val="24"/>
              </w:rPr>
            </w:pPr>
            <w:r>
              <w:rPr>
                <w:rFonts w:ascii="Cambria" w:hAnsi="Cambria"/>
                <w:sz w:val="24"/>
                <w:szCs w:val="24"/>
              </w:rPr>
              <w:t>4.</w:t>
            </w:r>
            <w:r>
              <w:rPr>
                <w:rFonts w:ascii="Cambria" w:hAnsi="Cambria"/>
                <w:sz w:val="24"/>
                <w:szCs w:val="24"/>
              </w:rPr>
              <w:tab/>
              <w:t>La valutazione dei Responsabili di struttura</w:t>
            </w:r>
          </w:p>
          <w:p w14:paraId="7FC4BA65" w14:textId="77777777" w:rsidR="00FE6944" w:rsidRDefault="001B71AF">
            <w:pPr>
              <w:spacing w:before="80" w:after="0" w:line="240" w:lineRule="auto"/>
              <w:ind w:left="284" w:hanging="284"/>
              <w:jc w:val="both"/>
              <w:rPr>
                <w:rFonts w:ascii="Cambria" w:hAnsi="Cambria"/>
                <w:sz w:val="24"/>
                <w:szCs w:val="24"/>
              </w:rPr>
            </w:pPr>
            <w:r>
              <w:rPr>
                <w:rFonts w:ascii="Cambria" w:hAnsi="Cambria"/>
                <w:sz w:val="24"/>
                <w:szCs w:val="24"/>
              </w:rPr>
              <w:t>5.</w:t>
            </w:r>
            <w:r>
              <w:rPr>
                <w:rFonts w:ascii="Cambria" w:hAnsi="Cambria"/>
                <w:sz w:val="24"/>
                <w:szCs w:val="24"/>
              </w:rPr>
              <w:tab/>
              <w:t>La valutazione dei dipendenti</w:t>
            </w:r>
          </w:p>
          <w:p w14:paraId="392FB68B" w14:textId="77777777" w:rsidR="00FE6944" w:rsidRDefault="001B71AF">
            <w:pPr>
              <w:spacing w:before="80" w:after="0" w:line="240" w:lineRule="auto"/>
              <w:ind w:left="284" w:hanging="284"/>
              <w:jc w:val="both"/>
              <w:rPr>
                <w:rFonts w:ascii="Cambria" w:hAnsi="Cambria"/>
                <w:sz w:val="24"/>
                <w:szCs w:val="24"/>
              </w:rPr>
            </w:pPr>
            <w:r>
              <w:rPr>
                <w:rFonts w:ascii="Cambria" w:hAnsi="Cambria"/>
                <w:sz w:val="24"/>
                <w:szCs w:val="24"/>
              </w:rPr>
              <w:t>6.</w:t>
            </w:r>
            <w:r>
              <w:rPr>
                <w:rFonts w:ascii="Cambria" w:hAnsi="Cambria"/>
                <w:sz w:val="24"/>
                <w:szCs w:val="24"/>
              </w:rPr>
              <w:tab/>
              <w:t>Il raccordo tra valutazione e compensi</w:t>
            </w:r>
          </w:p>
          <w:p w14:paraId="767AC417" w14:textId="77777777" w:rsidR="00FE6944" w:rsidRDefault="001B71AF">
            <w:pPr>
              <w:spacing w:before="80" w:after="0" w:line="240" w:lineRule="auto"/>
              <w:ind w:left="284" w:hanging="284"/>
              <w:jc w:val="both"/>
              <w:rPr>
                <w:rFonts w:ascii="Cambria" w:hAnsi="Cambria"/>
                <w:sz w:val="24"/>
                <w:szCs w:val="24"/>
              </w:rPr>
            </w:pPr>
            <w:r>
              <w:rPr>
                <w:rFonts w:ascii="Cambria" w:hAnsi="Cambria"/>
                <w:sz w:val="24"/>
                <w:szCs w:val="24"/>
              </w:rPr>
              <w:t>7.</w:t>
            </w:r>
            <w:r>
              <w:rPr>
                <w:rFonts w:ascii="Cambria" w:hAnsi="Cambria"/>
                <w:sz w:val="24"/>
                <w:szCs w:val="24"/>
              </w:rPr>
              <w:tab/>
              <w:t xml:space="preserve">Le </w:t>
            </w:r>
            <w:r>
              <w:rPr>
                <w:rFonts w:ascii="Cambria" w:hAnsi="Cambria"/>
                <w:sz w:val="24"/>
                <w:szCs w:val="24"/>
              </w:rPr>
              <w:t>procedure di riesame delle valutazioni</w:t>
            </w:r>
          </w:p>
          <w:p w14:paraId="5EC19F23" w14:textId="77777777" w:rsidR="00FE6944" w:rsidRDefault="001B71AF">
            <w:pPr>
              <w:spacing w:before="120" w:after="0" w:line="240" w:lineRule="auto"/>
              <w:ind w:left="284" w:hanging="284"/>
              <w:jc w:val="both"/>
              <w:rPr>
                <w:rFonts w:ascii="Cambria" w:hAnsi="Cambria"/>
              </w:rPr>
            </w:pPr>
            <w:r>
              <w:rPr>
                <w:rFonts w:ascii="Cambria" w:hAnsi="Cambria"/>
                <w:sz w:val="24"/>
                <w:szCs w:val="24"/>
              </w:rPr>
              <w:t>Allegati</w:t>
            </w:r>
            <w:r>
              <w:rPr>
                <w:rFonts w:ascii="Cambria" w:hAnsi="Cambria"/>
                <w:i/>
              </w:rPr>
              <w:t xml:space="preserve"> </w:t>
            </w:r>
          </w:p>
        </w:tc>
      </w:tr>
    </w:tbl>
    <w:p w14:paraId="2F1CD540" w14:textId="77777777" w:rsidR="00FE6944" w:rsidRDefault="00FE6944"/>
    <w:p w14:paraId="1C476F38" w14:textId="77777777" w:rsidR="001B71AF" w:rsidRDefault="001B71AF" w:rsidP="001B71AF"/>
    <w:p w14:paraId="15548625" w14:textId="3DFF359C" w:rsidR="001B71AF" w:rsidRPr="001B71AF" w:rsidRDefault="001B71AF" w:rsidP="001B71AF">
      <w:pPr>
        <w:tabs>
          <w:tab w:val="left" w:pos="3960"/>
        </w:tabs>
        <w:jc w:val="center"/>
        <w:rPr>
          <w:rFonts w:ascii="Times New Roman" w:hAnsi="Times New Roman" w:cs="Times New Roman"/>
          <w:b/>
          <w:bCs/>
          <w:sz w:val="20"/>
          <w:szCs w:val="20"/>
        </w:rPr>
      </w:pPr>
      <w:r>
        <w:rPr>
          <w:rFonts w:ascii="Times New Roman" w:hAnsi="Times New Roman" w:cs="Times New Roman"/>
          <w:b/>
          <w:bCs/>
          <w:sz w:val="20"/>
          <w:szCs w:val="20"/>
        </w:rPr>
        <w:t>Approvato con deliberazione di Giunta Comunale n. 81 del 15.06.2023</w:t>
      </w:r>
    </w:p>
    <w:p w14:paraId="1E4DF2FA" w14:textId="598E0E2E" w:rsidR="001B71AF" w:rsidRPr="001B71AF" w:rsidRDefault="001B71AF" w:rsidP="001B71AF">
      <w:pPr>
        <w:tabs>
          <w:tab w:val="left" w:pos="3960"/>
        </w:tabs>
        <w:sectPr w:rsidR="001B71AF" w:rsidRPr="001B71AF">
          <w:footerReference w:type="default" r:id="rId8"/>
          <w:pgSz w:w="11906" w:h="16838"/>
          <w:pgMar w:top="679" w:right="1418" w:bottom="680" w:left="1418" w:header="0" w:footer="567" w:gutter="0"/>
          <w:pgBorders w:offsetFrom="page">
            <w:top w:val="single" w:sz="2" w:space="24" w:color="C00000"/>
            <w:left w:val="single" w:sz="2" w:space="24" w:color="C00000"/>
            <w:bottom w:val="single" w:sz="2" w:space="24" w:color="C00000"/>
            <w:right w:val="single" w:sz="2" w:space="24" w:color="C00000"/>
          </w:pgBorders>
          <w:cols w:space="720"/>
          <w:formProt w:val="0"/>
          <w:docGrid w:linePitch="360" w:charSpace="4096"/>
        </w:sectPr>
      </w:pPr>
      <w:r>
        <w:tab/>
      </w:r>
    </w:p>
    <w:p w14:paraId="2F6F3052" w14:textId="77777777" w:rsidR="00FE6944" w:rsidRDefault="001B71AF">
      <w:pPr>
        <w:pStyle w:val="Titolo1"/>
        <w:spacing w:before="0" w:line="240" w:lineRule="auto"/>
        <w:rPr>
          <w:rFonts w:ascii="Cambria" w:hAnsi="Cambria"/>
          <w:b/>
          <w:color w:val="990000"/>
          <w:sz w:val="28"/>
          <w:szCs w:val="28"/>
        </w:rPr>
      </w:pPr>
      <w:bookmarkStart w:id="0" w:name="_Toc411839786"/>
      <w:bookmarkStart w:id="1" w:name="_Toc497578724"/>
      <w:bookmarkEnd w:id="0"/>
      <w:r>
        <w:rPr>
          <w:rFonts w:ascii="Cambria" w:hAnsi="Cambria"/>
          <w:b/>
          <w:color w:val="990000"/>
          <w:sz w:val="28"/>
          <w:szCs w:val="28"/>
        </w:rPr>
        <w:lastRenderedPageBreak/>
        <w:t>Introduzione</w:t>
      </w:r>
      <w:bookmarkEnd w:id="1"/>
    </w:p>
    <w:p w14:paraId="579D88EA" w14:textId="77777777" w:rsidR="00FE6944" w:rsidRDefault="001B71AF">
      <w:pPr>
        <w:spacing w:before="80" w:after="0" w:line="240" w:lineRule="auto"/>
        <w:jc w:val="both"/>
        <w:rPr>
          <w:rFonts w:ascii="Cambria" w:hAnsi="Cambria"/>
        </w:rPr>
      </w:pPr>
      <w:r>
        <w:rPr>
          <w:rFonts w:ascii="Cambria" w:hAnsi="Cambria"/>
        </w:rPr>
        <w:t xml:space="preserve">Il presente documento è elaborato con l’intento di definire un sistema di valutazione della performance per gli enti locali di minore dimensione, sufficientemente </w:t>
      </w:r>
      <w:r>
        <w:rPr>
          <w:rFonts w:ascii="Cambria" w:hAnsi="Cambria"/>
          <w:i/>
        </w:rPr>
        <w:t>stabile</w:t>
      </w:r>
      <w:r>
        <w:rPr>
          <w:rFonts w:ascii="Cambria" w:hAnsi="Cambria"/>
        </w:rPr>
        <w:t>, a fronte di un quadro normativo in continua evoluzione.</w:t>
      </w:r>
    </w:p>
    <w:p w14:paraId="519A4BA7" w14:textId="77777777" w:rsidR="00FE6944" w:rsidRDefault="001B71AF">
      <w:pPr>
        <w:spacing w:before="80" w:after="0" w:line="240" w:lineRule="auto"/>
        <w:jc w:val="both"/>
        <w:rPr>
          <w:rFonts w:ascii="Cambria" w:hAnsi="Cambria"/>
        </w:rPr>
      </w:pPr>
      <w:r>
        <w:rPr>
          <w:rFonts w:ascii="Cambria" w:hAnsi="Cambria"/>
        </w:rPr>
        <w:t>A tal fine, la metodologia q</w:t>
      </w:r>
      <w:r>
        <w:rPr>
          <w:rFonts w:ascii="Cambria" w:hAnsi="Cambria"/>
        </w:rPr>
        <w:t xml:space="preserve">ui proposta si àncora ai principi dettati dal nuovo sistema di programmazione e gestione contabile degli enti territoriali, introdotto dal d.lgs. n. 118/2011 e suoi correttivi, oltre che alle più solide metodiche di </w:t>
      </w:r>
      <w:r>
        <w:rPr>
          <w:rFonts w:ascii="Cambria" w:hAnsi="Cambria"/>
          <w:i/>
        </w:rPr>
        <w:t>assessment</w:t>
      </w:r>
      <w:r>
        <w:rPr>
          <w:rFonts w:ascii="Cambria" w:hAnsi="Cambria"/>
        </w:rPr>
        <w:t>,</w:t>
      </w:r>
      <w:r>
        <w:rPr>
          <w:rFonts w:ascii="Cambria" w:hAnsi="Cambria"/>
          <w:i/>
        </w:rPr>
        <w:t xml:space="preserve"> </w:t>
      </w:r>
      <w:r>
        <w:rPr>
          <w:rFonts w:ascii="Cambria" w:hAnsi="Cambria"/>
        </w:rPr>
        <w:t>che gli studi sulle organizz</w:t>
      </w:r>
      <w:r>
        <w:rPr>
          <w:rFonts w:ascii="Cambria" w:hAnsi="Cambria"/>
        </w:rPr>
        <w:t>azioni ci hanno consegnato in questi decenni, proprio per tentare di fornire uno strumento semplice, ma sufficientemente durevole ed efficace, in quanto adattabile alle eventuali, probabili modifiche del contesto.</w:t>
      </w:r>
    </w:p>
    <w:p w14:paraId="27552CEC" w14:textId="77777777" w:rsidR="00FE6944" w:rsidRDefault="001B71AF">
      <w:pPr>
        <w:spacing w:before="80" w:after="0" w:line="240" w:lineRule="auto"/>
        <w:jc w:val="both"/>
        <w:rPr>
          <w:rFonts w:ascii="Cambria" w:hAnsi="Cambria"/>
          <w:color w:val="000000" w:themeColor="text1"/>
        </w:rPr>
      </w:pPr>
      <w:r>
        <w:rPr>
          <w:rFonts w:ascii="Cambria" w:hAnsi="Cambria"/>
          <w:color w:val="000000" w:themeColor="text1"/>
        </w:rPr>
        <w:t xml:space="preserve">La metodologia concerne il duplice ambito </w:t>
      </w:r>
      <w:r>
        <w:rPr>
          <w:rFonts w:ascii="Cambria" w:hAnsi="Cambria"/>
          <w:color w:val="000000" w:themeColor="text1"/>
        </w:rPr>
        <w:t xml:space="preserve">di valutazione della performance organizzativa e della performance individuale. </w:t>
      </w:r>
    </w:p>
    <w:p w14:paraId="09A918C1" w14:textId="77777777" w:rsidR="00FE6944" w:rsidRDefault="001B71AF">
      <w:pPr>
        <w:spacing w:before="80" w:after="0" w:line="240" w:lineRule="auto"/>
        <w:jc w:val="both"/>
        <w:rPr>
          <w:rFonts w:ascii="Cambria" w:hAnsi="Cambria"/>
          <w:b/>
          <w:color w:val="000000" w:themeColor="text1"/>
        </w:rPr>
      </w:pPr>
      <w:r>
        <w:rPr>
          <w:rFonts w:ascii="Cambria" w:hAnsi="Cambria"/>
          <w:color w:val="000000" w:themeColor="text1"/>
        </w:rPr>
        <w:t xml:space="preserve">Essa è redatta in coerenza con i contenuti della delega di cui alla legge n. 124/2015 sulla riorganizzazione delle amministrazioni pubbliche e dei relativi decreti attuativi, </w:t>
      </w:r>
      <w:r>
        <w:rPr>
          <w:rFonts w:ascii="Cambria" w:hAnsi="Cambria"/>
          <w:color w:val="000000" w:themeColor="text1"/>
        </w:rPr>
        <w:t>d.lgs. n. 74/2017 e d.lgs. n. 7</w:t>
      </w:r>
      <w:r>
        <w:rPr>
          <w:rFonts w:ascii="Cambria" w:hAnsi="Cambria"/>
        </w:rPr>
        <w:t xml:space="preserve">5/2017, </w:t>
      </w:r>
      <w:r>
        <w:rPr>
          <w:rFonts w:ascii="Cambria" w:hAnsi="Cambria"/>
        </w:rPr>
        <w:t xml:space="preserve">nonché delle disposizioni in materia di Piano integrato di attività e organizzazione (PIAO), nel quadro del nuovo ordinamento professionale  introdotto dal CCNL per il personale del comparto Funzioni locali triennio </w:t>
      </w:r>
      <w:r>
        <w:rPr>
          <w:rFonts w:ascii="Cambria" w:hAnsi="Cambria"/>
          <w:color w:val="000000" w:themeColor="text1"/>
        </w:rPr>
        <w:t>2</w:t>
      </w:r>
      <w:r>
        <w:rPr>
          <w:rFonts w:ascii="Cambria" w:hAnsi="Cambria"/>
          <w:color w:val="000000" w:themeColor="text1"/>
        </w:rPr>
        <w:t>019-2021, sottoscritto in data 16.11.2022.</w:t>
      </w:r>
    </w:p>
    <w:p w14:paraId="37274E60" w14:textId="77777777" w:rsidR="00FE6944" w:rsidRDefault="001B71AF">
      <w:pPr>
        <w:spacing w:before="80" w:after="0" w:line="240" w:lineRule="auto"/>
        <w:jc w:val="both"/>
        <w:rPr>
          <w:rFonts w:ascii="Cambria" w:hAnsi="Cambria"/>
          <w:color w:val="000000" w:themeColor="text1"/>
        </w:rPr>
      </w:pPr>
      <w:r>
        <w:rPr>
          <w:rFonts w:ascii="Cambria" w:hAnsi="Cambria"/>
          <w:color w:val="000000" w:themeColor="text1"/>
        </w:rPr>
        <w:t>Nello specifico,</w:t>
      </w:r>
      <w:r>
        <w:rPr>
          <w:rFonts w:ascii="Cambria" w:hAnsi="Cambria"/>
          <w:b/>
          <w:color w:val="000000" w:themeColor="text1"/>
        </w:rPr>
        <w:t xml:space="preserve"> </w:t>
      </w:r>
      <w:r>
        <w:rPr>
          <w:rFonts w:ascii="Cambria" w:hAnsi="Cambria"/>
          <w:color w:val="000000" w:themeColor="text1"/>
        </w:rPr>
        <w:t>la valutazione della performance organizzativa riguarda la rilevazione del grado di attuazione delle politiche</w:t>
      </w:r>
      <w:r>
        <w:rPr>
          <w:rFonts w:ascii="Cambria" w:eastAsia="Times New Roman" w:hAnsi="Cambria"/>
          <w:b/>
          <w:color w:val="000000" w:themeColor="text1"/>
        </w:rPr>
        <w:t xml:space="preserve"> </w:t>
      </w:r>
      <w:r>
        <w:rPr>
          <w:rFonts w:ascii="Cambria" w:hAnsi="Cambria"/>
          <w:color w:val="000000" w:themeColor="text1"/>
        </w:rPr>
        <w:t xml:space="preserve">e il conseguimento di obiettivi collegati ai bisogni e alle esigenze della collettività, la realizzazione degli obiettivi strategici relativi all’amministrazione nel suo complesso, nonché la rilevazione dei risultati conseguiti dalle singole articolazioni </w:t>
      </w:r>
      <w:r>
        <w:rPr>
          <w:rFonts w:ascii="Cambria" w:hAnsi="Cambria"/>
          <w:color w:val="000000" w:themeColor="text1"/>
        </w:rPr>
        <w:t xml:space="preserve">organizzative, in relazione agli obiettivi gestionali ad esse affidati. </w:t>
      </w:r>
    </w:p>
    <w:p w14:paraId="79F67D6E" w14:textId="77777777" w:rsidR="00FE6944" w:rsidRDefault="001B71AF">
      <w:pPr>
        <w:spacing w:before="80" w:after="0" w:line="240" w:lineRule="auto"/>
        <w:jc w:val="both"/>
        <w:rPr>
          <w:rFonts w:ascii="Cambria" w:hAnsi="Cambria"/>
          <w:color w:val="000000" w:themeColor="text1"/>
        </w:rPr>
      </w:pPr>
      <w:r>
        <w:rPr>
          <w:rFonts w:ascii="Cambria" w:hAnsi="Cambria"/>
          <w:color w:val="000000" w:themeColor="text1"/>
        </w:rPr>
        <w:t>La valutazione della performance individuale concerne, invece, la misurazione dell’apporto fornito da ciascuna figura dell’Ente – in ragione del ruolo e responsabilità ricoperti – all</w:t>
      </w:r>
      <w:r>
        <w:rPr>
          <w:rFonts w:ascii="Cambria" w:hAnsi="Cambria"/>
          <w:color w:val="000000" w:themeColor="text1"/>
        </w:rPr>
        <w:t xml:space="preserve">a realizzazione dei predetti obiettivi, cui è correlato l’eventuale riconoscimento del trattamento economico accessorio previsto dal contratto nazionale e integrativo. </w:t>
      </w:r>
    </w:p>
    <w:p w14:paraId="0036ECE3" w14:textId="77777777" w:rsidR="00FE6944" w:rsidRDefault="001B71AF">
      <w:pPr>
        <w:spacing w:before="80" w:after="0" w:line="240" w:lineRule="auto"/>
        <w:jc w:val="both"/>
        <w:rPr>
          <w:rFonts w:ascii="Cambria" w:hAnsi="Cambria"/>
          <w:color w:val="000000" w:themeColor="text1"/>
        </w:rPr>
      </w:pPr>
      <w:r>
        <w:rPr>
          <w:rFonts w:ascii="Cambria" w:hAnsi="Cambria"/>
          <w:color w:val="000000" w:themeColor="text1"/>
        </w:rPr>
        <w:t>In ogni caso, sebbene condotti su piani distinti, gli esiti del processo di valutazione</w:t>
      </w:r>
      <w:r>
        <w:rPr>
          <w:rFonts w:ascii="Cambria" w:hAnsi="Cambria"/>
          <w:color w:val="000000" w:themeColor="text1"/>
        </w:rPr>
        <w:t xml:space="preserve"> della performance organizzativa e di quella individuale debbono risultare, tra di loro, strettamente coerenti.</w:t>
      </w:r>
      <w:bookmarkStart w:id="2" w:name="_Toc453834719"/>
    </w:p>
    <w:p w14:paraId="562A60C2" w14:textId="77777777" w:rsidR="00FE6944" w:rsidRDefault="00FE6944">
      <w:pPr>
        <w:spacing w:after="0" w:line="240" w:lineRule="auto"/>
        <w:jc w:val="both"/>
        <w:rPr>
          <w:rFonts w:ascii="Cambria" w:hAnsi="Cambria"/>
          <w:color w:val="000000" w:themeColor="text1"/>
        </w:rPr>
      </w:pPr>
    </w:p>
    <w:p w14:paraId="32CED755" w14:textId="77777777" w:rsidR="00FE6944" w:rsidRDefault="001B71AF">
      <w:pPr>
        <w:pStyle w:val="Titolo1"/>
        <w:spacing w:before="0" w:line="240" w:lineRule="auto"/>
        <w:rPr>
          <w:rFonts w:ascii="Cambria" w:hAnsi="Cambria"/>
          <w:b/>
          <w:color w:val="990000"/>
          <w:sz w:val="28"/>
          <w:szCs w:val="28"/>
        </w:rPr>
      </w:pPr>
      <w:bookmarkStart w:id="3" w:name="_Toc497578725"/>
      <w:r>
        <w:rPr>
          <w:rFonts w:ascii="Cambria" w:hAnsi="Cambria"/>
          <w:b/>
          <w:color w:val="990000"/>
          <w:sz w:val="28"/>
          <w:szCs w:val="28"/>
        </w:rPr>
        <w:t>LA PERFORMANCE ORGANIZZATIVA</w:t>
      </w:r>
      <w:bookmarkEnd w:id="2"/>
      <w:bookmarkEnd w:id="3"/>
    </w:p>
    <w:p w14:paraId="4427AC79" w14:textId="77777777" w:rsidR="00FE6944" w:rsidRDefault="001B71AF">
      <w:pPr>
        <w:spacing w:before="80" w:after="0" w:line="240" w:lineRule="auto"/>
        <w:jc w:val="both"/>
        <w:rPr>
          <w:rFonts w:ascii="Cambria" w:hAnsi="Cambria"/>
        </w:rPr>
      </w:pPr>
      <w:r>
        <w:rPr>
          <w:rFonts w:ascii="Cambria" w:hAnsi="Cambria"/>
        </w:rPr>
        <w:t>Il ciclo della performance è unificato col ciclo della programmazione finanziaria. In particolare nel Documento Un</w:t>
      </w:r>
      <w:r>
        <w:rPr>
          <w:rFonts w:ascii="Cambria" w:hAnsi="Cambria"/>
        </w:rPr>
        <w:t>ico di Programmazione, nella sua versione ordinaria o semplificata, in relazione alla dimensione del Comune, vengono fissati, nell’ambito delle missioni e dei programmi nei quali è articolato il bila</w:t>
      </w:r>
      <w:r>
        <w:rPr>
          <w:rFonts w:ascii="Cambria" w:hAnsi="Cambria"/>
        </w:rPr>
        <w:t>ncio, gli obiettivi strategici perseguiti dall’Ente, a lo</w:t>
      </w:r>
      <w:r>
        <w:rPr>
          <w:rFonts w:ascii="Cambria" w:hAnsi="Cambria"/>
        </w:rPr>
        <w:t>ro volta distinti in obiettiv</w:t>
      </w:r>
      <w:r>
        <w:rPr>
          <w:rFonts w:ascii="Cambria" w:hAnsi="Cambria"/>
          <w:color w:val="000000"/>
        </w:rPr>
        <w:t>i operativi. Le risorse finanziarie assegnate per ogni programma definito nella Sezione operativa del DUP sono destinate ai singoli responsabili, mediante il PEG (o analogo strumento semplificato di pianificazione gestionale, p</w:t>
      </w:r>
      <w:r>
        <w:rPr>
          <w:rFonts w:ascii="Cambria" w:hAnsi="Cambria"/>
          <w:color w:val="000000"/>
        </w:rPr>
        <w:t>er gli enti di minori dimensioni, non tenuti all’approvazione del PEG), per la realizzazione degli obiettivi di gestione.</w:t>
      </w:r>
    </w:p>
    <w:p w14:paraId="41107A92" w14:textId="77777777" w:rsidR="00FE6944" w:rsidRDefault="001B71AF">
      <w:pPr>
        <w:spacing w:before="80" w:after="0" w:line="240" w:lineRule="auto"/>
        <w:jc w:val="both"/>
        <w:rPr>
          <w:rFonts w:ascii="Cambria" w:hAnsi="Cambria"/>
        </w:rPr>
      </w:pPr>
      <w:r>
        <w:rPr>
          <w:rFonts w:ascii="Cambria" w:hAnsi="Cambria"/>
          <w:color w:val="000000"/>
        </w:rPr>
        <w:t xml:space="preserve">Gli obiettivi specifici, funzionali al conseguimento degli obiettivi della gestione, sono indicati, </w:t>
      </w:r>
      <w:r>
        <w:rPr>
          <w:rFonts w:ascii="Cambria" w:hAnsi="Cambria"/>
          <w:color w:val="000000" w:themeColor="text1"/>
        </w:rPr>
        <w:t>con la partecipazione dei relativi</w:t>
      </w:r>
      <w:r>
        <w:rPr>
          <w:rFonts w:ascii="Cambria" w:hAnsi="Cambria"/>
          <w:color w:val="000000" w:themeColor="text1"/>
        </w:rPr>
        <w:t xml:space="preserve"> responsabili,</w:t>
      </w:r>
      <w:r>
        <w:rPr>
          <w:rFonts w:ascii="Cambria" w:hAnsi="Cambria"/>
          <w:color w:val="000000"/>
        </w:rPr>
        <w:t xml:space="preserve"> nel Piano della performance,</w:t>
      </w:r>
      <w:r>
        <w:rPr>
          <w:rFonts w:ascii="Cambria" w:eastAsia="Times New Roman" w:hAnsi="Cambria"/>
          <w:color w:val="000000"/>
        </w:rPr>
        <w:t xml:space="preserve"> </w:t>
      </w:r>
      <w:r>
        <w:rPr>
          <w:rFonts w:ascii="Cambria" w:hAnsi="Cambria"/>
          <w:color w:val="000000"/>
        </w:rPr>
        <w:t xml:space="preserve">ricondotto, laddove stabilito, al Piano integrato di attività e organizzazione (PIAO).  Essi sono affidati a ciascuna articolazione organizzativa dell’Ente </w:t>
      </w:r>
      <w:r>
        <w:rPr>
          <w:rFonts w:ascii="Cambria" w:hAnsi="Cambria"/>
          <w:color w:val="000000" w:themeColor="text1"/>
        </w:rPr>
        <w:t>tenendo conto anche dei risultati conseguiti nell’anno p</w:t>
      </w:r>
      <w:r>
        <w:rPr>
          <w:rFonts w:ascii="Cambria" w:hAnsi="Cambria"/>
          <w:color w:val="000000" w:themeColor="text1"/>
        </w:rPr>
        <w:t>recedente, come documentati e validati nella relazione annuale sulla performance.</w:t>
      </w:r>
      <w:r>
        <w:rPr>
          <w:rFonts w:ascii="Cambria" w:hAnsi="Cambria"/>
          <w:color w:val="000000"/>
        </w:rPr>
        <w:t xml:space="preserve">  Tali obiettivi  specifici sono accompagnati dalla puntuale descrizione dei risultati attesi mediante appositi indicatori.</w:t>
      </w:r>
      <w:r>
        <w:rPr>
          <w:rFonts w:ascii="Cambria" w:hAnsi="Cambria"/>
          <w:color w:val="000000"/>
        </w:rPr>
        <w:t xml:space="preserve"> </w:t>
      </w:r>
    </w:p>
    <w:p w14:paraId="303AF9FF" w14:textId="77777777" w:rsidR="00FE6944" w:rsidRDefault="001B71AF">
      <w:pPr>
        <w:spacing w:before="80" w:after="0" w:line="240" w:lineRule="auto"/>
        <w:jc w:val="both"/>
        <w:rPr>
          <w:rFonts w:ascii="Cambria" w:hAnsi="Cambria"/>
          <w:color w:val="000000" w:themeColor="text1"/>
        </w:rPr>
      </w:pPr>
      <w:r>
        <w:rPr>
          <w:rFonts w:ascii="Cambria" w:hAnsi="Cambria"/>
          <w:color w:val="000000" w:themeColor="text1"/>
        </w:rPr>
        <w:t xml:space="preserve">Benché l’orizzonte temporale dei </w:t>
      </w:r>
      <w:r>
        <w:rPr>
          <w:rFonts w:ascii="Cambria" w:hAnsi="Cambria"/>
          <w:color w:val="000000"/>
        </w:rPr>
        <w:t xml:space="preserve">predetti Piani </w:t>
      </w:r>
      <w:r>
        <w:rPr>
          <w:rFonts w:ascii="Cambria" w:hAnsi="Cambria"/>
          <w:color w:val="000000" w:themeColor="text1"/>
        </w:rPr>
        <w:t>si</w:t>
      </w:r>
      <w:r>
        <w:rPr>
          <w:rFonts w:ascii="Cambria" w:hAnsi="Cambria"/>
          <w:color w:val="000000" w:themeColor="text1"/>
        </w:rPr>
        <w:t xml:space="preserve">a triennale,  gli obiettivi </w:t>
      </w:r>
      <w:r>
        <w:rPr>
          <w:rFonts w:ascii="Cambria" w:hAnsi="Cambria"/>
          <w:color w:val="000000"/>
        </w:rPr>
        <w:t>specifici,</w:t>
      </w:r>
      <w:r>
        <w:rPr>
          <w:rFonts w:ascii="Cambria" w:hAnsi="Cambria"/>
          <w:color w:val="000000" w:themeColor="text1"/>
        </w:rPr>
        <w:t xml:space="preserve"> anche nell’eventualità abbiano un ciclo di vita superiore all’anno, debbono comunque prevedere appositi indicatori di risultato relativi ad ogni singola annualità. </w:t>
      </w:r>
    </w:p>
    <w:p w14:paraId="61958600" w14:textId="77777777" w:rsidR="00FE6944" w:rsidRDefault="001B71AF">
      <w:pPr>
        <w:spacing w:before="80" w:after="0" w:line="240" w:lineRule="auto"/>
        <w:jc w:val="both"/>
        <w:rPr>
          <w:rFonts w:ascii="Cambria" w:hAnsi="Cambria"/>
          <w:color w:val="000000" w:themeColor="text1"/>
        </w:rPr>
      </w:pPr>
      <w:r>
        <w:rPr>
          <w:rFonts w:ascii="Cambria" w:hAnsi="Cambria"/>
          <w:color w:val="000000" w:themeColor="text1"/>
        </w:rPr>
        <w:lastRenderedPageBreak/>
        <w:t>Nel caso di differimento del termine di adozione del</w:t>
      </w:r>
      <w:r>
        <w:rPr>
          <w:rFonts w:ascii="Cambria" w:hAnsi="Cambria"/>
          <w:color w:val="000000" w:themeColor="text1"/>
        </w:rPr>
        <w:t xml:space="preserve"> bilancio di previsione degli enti territoriali, devono essere comunque definiti obiettivi specifici per consentire la continuità dell’azione amministrativa.</w:t>
      </w:r>
    </w:p>
    <w:p w14:paraId="40428A16" w14:textId="77777777" w:rsidR="00FE6944" w:rsidRDefault="001B71AF">
      <w:pPr>
        <w:spacing w:before="80" w:after="0" w:line="240" w:lineRule="auto"/>
        <w:jc w:val="both"/>
        <w:rPr>
          <w:rFonts w:ascii="Cambria" w:hAnsi="Cambria"/>
          <w:color w:val="000000" w:themeColor="text1"/>
        </w:rPr>
      </w:pPr>
      <w:r>
        <w:rPr>
          <w:rFonts w:ascii="Cambria" w:hAnsi="Cambria"/>
          <w:color w:val="000000" w:themeColor="text1"/>
        </w:rPr>
        <w:t>L’Amministrazione individua idonee forme di partecipazione dei cittadini o degli altri utenti fina</w:t>
      </w:r>
      <w:r>
        <w:rPr>
          <w:rFonts w:ascii="Cambria" w:hAnsi="Cambria"/>
          <w:color w:val="000000" w:themeColor="text1"/>
        </w:rPr>
        <w:t xml:space="preserve">li nel processo di valutazione della performance organizzativa, in rapporto alla qualità dei servizi resi, privilegiando l’individuazione di indicatori di efficacia che misurino, rispetto agli obiettivi predeterminati, il grado di soddisfazione finale dei </w:t>
      </w:r>
      <w:r>
        <w:rPr>
          <w:rFonts w:ascii="Cambria" w:hAnsi="Cambria"/>
          <w:color w:val="000000" w:themeColor="text1"/>
        </w:rPr>
        <w:t xml:space="preserve">predetti soggetti. </w:t>
      </w:r>
    </w:p>
    <w:p w14:paraId="53B850E6" w14:textId="77777777" w:rsidR="00FE6944" w:rsidRDefault="001B71AF">
      <w:pPr>
        <w:spacing w:before="80" w:after="0" w:line="240" w:lineRule="auto"/>
        <w:jc w:val="both"/>
        <w:rPr>
          <w:rFonts w:ascii="Cambria" w:hAnsi="Cambria"/>
          <w:bCs/>
          <w:color w:val="000000" w:themeColor="text1"/>
        </w:rPr>
      </w:pPr>
      <w:r>
        <w:rPr>
          <w:rFonts w:ascii="Cambria" w:hAnsi="Cambria"/>
          <w:color w:val="000000" w:themeColor="text1"/>
        </w:rPr>
        <w:t>La Relazione annuale sulla performance evidenzia, a consuntivo, con riferimento all'anno precedente, i risultati organizzativi e individuali raggiunti rispetto ai singoli obiettivi e indicatori programmati e alle risorse previste, con rilevazione degli eve</w:t>
      </w:r>
      <w:r>
        <w:rPr>
          <w:rFonts w:ascii="Cambria" w:hAnsi="Cambria"/>
          <w:color w:val="000000" w:themeColor="text1"/>
        </w:rPr>
        <w:t xml:space="preserve">ntuali scostamenti. Essa può essere unificata al rendiconto della gestione di cui all’articolo 227 del citato d.lgs. n. 267/2000 ed è preventivamente validata del Nucleo di valutazione, </w:t>
      </w:r>
      <w:r>
        <w:rPr>
          <w:rFonts w:ascii="Cambria" w:hAnsi="Cambria"/>
          <w:bCs/>
          <w:color w:val="000000" w:themeColor="text1"/>
        </w:rPr>
        <w:t>a condizione che sia redatta in forma sintetica, chiara e di immediata</w:t>
      </w:r>
      <w:r>
        <w:rPr>
          <w:rFonts w:ascii="Cambria" w:hAnsi="Cambria"/>
          <w:bCs/>
          <w:color w:val="000000" w:themeColor="text1"/>
        </w:rPr>
        <w:t xml:space="preserve"> comprensione ai cittadini e agli altri utenti finali.</w:t>
      </w:r>
    </w:p>
    <w:p w14:paraId="61045867" w14:textId="77777777" w:rsidR="00FE6944" w:rsidRDefault="001B71AF">
      <w:pPr>
        <w:spacing w:before="80" w:after="0" w:line="240" w:lineRule="auto"/>
        <w:jc w:val="both"/>
        <w:rPr>
          <w:rFonts w:ascii="Cambria" w:hAnsi="Cambria"/>
          <w:bCs/>
          <w:color w:val="000000" w:themeColor="text1"/>
        </w:rPr>
      </w:pPr>
      <w:r>
        <w:rPr>
          <w:rFonts w:ascii="Cambria" w:hAnsi="Cambria"/>
          <w:bCs/>
          <w:color w:val="000000" w:themeColor="text1"/>
        </w:rPr>
        <w:t xml:space="preserve">La mancata </w:t>
      </w:r>
      <w:r>
        <w:rPr>
          <w:rFonts w:ascii="Cambria" w:hAnsi="Cambria"/>
          <w:bCs/>
        </w:rPr>
        <w:t xml:space="preserve">adozione del  </w:t>
      </w:r>
      <w:r>
        <w:rPr>
          <w:rFonts w:ascii="Cambria" w:hAnsi="Cambria"/>
          <w:bCs/>
        </w:rPr>
        <w:t xml:space="preserve">Piano della performance, ricondotto, laddove stabilito, al Piano integrato di attività e organizzazione (PIAO) </w:t>
      </w:r>
      <w:r>
        <w:rPr>
          <w:rFonts w:ascii="Cambria" w:hAnsi="Cambria"/>
          <w:bCs/>
        </w:rPr>
        <w:t xml:space="preserve">o </w:t>
      </w:r>
      <w:r>
        <w:rPr>
          <w:rFonts w:ascii="Cambria" w:hAnsi="Cambria"/>
          <w:bCs/>
          <w:color w:val="000000" w:themeColor="text1"/>
        </w:rPr>
        <w:t>della Relazione annuale sulla performance, determina gli effett</w:t>
      </w:r>
      <w:r>
        <w:rPr>
          <w:rFonts w:ascii="Cambria" w:hAnsi="Cambria"/>
          <w:bCs/>
          <w:color w:val="000000" w:themeColor="text1"/>
        </w:rPr>
        <w:t>i di cui all’art. 10 del d.lgs. n. 150/2009.</w:t>
      </w:r>
    </w:p>
    <w:p w14:paraId="7EC040E1" w14:textId="77777777" w:rsidR="00FE6944" w:rsidRDefault="00FE6944">
      <w:pPr>
        <w:spacing w:after="0" w:line="240" w:lineRule="auto"/>
        <w:jc w:val="both"/>
        <w:rPr>
          <w:rFonts w:ascii="Cambria" w:hAnsi="Cambria"/>
          <w:color w:val="000000" w:themeColor="text1"/>
        </w:rPr>
      </w:pPr>
    </w:p>
    <w:p w14:paraId="3085F34C" w14:textId="77777777" w:rsidR="00FE6944" w:rsidRDefault="001B71AF">
      <w:pPr>
        <w:pStyle w:val="Titolo1"/>
        <w:spacing w:before="0" w:line="240" w:lineRule="auto"/>
        <w:rPr>
          <w:rFonts w:ascii="Cambria" w:hAnsi="Cambria"/>
          <w:b/>
          <w:color w:val="990000"/>
          <w:sz w:val="28"/>
          <w:szCs w:val="28"/>
        </w:rPr>
      </w:pPr>
      <w:bookmarkStart w:id="4" w:name="_Toc497578726"/>
      <w:bookmarkStart w:id="5" w:name="_Toc453834720"/>
      <w:r>
        <w:rPr>
          <w:rFonts w:ascii="Cambria" w:hAnsi="Cambria"/>
          <w:b/>
          <w:color w:val="990000"/>
          <w:sz w:val="28"/>
          <w:szCs w:val="28"/>
        </w:rPr>
        <w:t>LA PERFORMANCE INDIVIDUALE</w:t>
      </w:r>
      <w:bookmarkEnd w:id="4"/>
      <w:bookmarkEnd w:id="5"/>
    </w:p>
    <w:p w14:paraId="1DD37251" w14:textId="77777777" w:rsidR="00FE6944" w:rsidRDefault="001B71AF">
      <w:pPr>
        <w:pStyle w:val="Titolo1"/>
        <w:numPr>
          <w:ilvl w:val="0"/>
          <w:numId w:val="1"/>
        </w:numPr>
        <w:spacing w:before="120" w:line="240" w:lineRule="auto"/>
        <w:ind w:left="284" w:hanging="284"/>
        <w:rPr>
          <w:rFonts w:ascii="Cambria" w:hAnsi="Cambria"/>
          <w:b/>
          <w:color w:val="990000"/>
          <w:sz w:val="26"/>
          <w:szCs w:val="26"/>
        </w:rPr>
      </w:pPr>
      <w:bookmarkStart w:id="6" w:name="_Toc497578727"/>
      <w:r>
        <w:rPr>
          <w:rFonts w:ascii="Cambria" w:hAnsi="Cambria"/>
          <w:b/>
          <w:color w:val="990000"/>
          <w:sz w:val="26"/>
          <w:szCs w:val="26"/>
        </w:rPr>
        <w:t>Contenuti ed ambiti</w:t>
      </w:r>
      <w:bookmarkEnd w:id="6"/>
    </w:p>
    <w:p w14:paraId="53D560BF" w14:textId="77777777" w:rsidR="00FE6944" w:rsidRDefault="001B71AF">
      <w:pPr>
        <w:pStyle w:val="Titolo2"/>
        <w:spacing w:before="120" w:line="240" w:lineRule="auto"/>
        <w:rPr>
          <w:rFonts w:ascii="Cambria" w:hAnsi="Cambria"/>
          <w:b/>
          <w:color w:val="990000"/>
          <w:sz w:val="24"/>
          <w:szCs w:val="24"/>
        </w:rPr>
      </w:pPr>
      <w:bookmarkStart w:id="7" w:name="_Toc497578728"/>
      <w:r>
        <w:rPr>
          <w:rFonts w:ascii="Cambria" w:hAnsi="Cambria"/>
          <w:b/>
          <w:color w:val="990000"/>
          <w:sz w:val="24"/>
          <w:szCs w:val="24"/>
        </w:rPr>
        <w:t>1.1. I fattori di apprezzamento</w:t>
      </w:r>
      <w:bookmarkEnd w:id="7"/>
    </w:p>
    <w:p w14:paraId="3BED58A0" w14:textId="77777777" w:rsidR="00FE6944" w:rsidRDefault="001B71AF">
      <w:pPr>
        <w:spacing w:before="80" w:after="0" w:line="240" w:lineRule="auto"/>
        <w:jc w:val="both"/>
        <w:rPr>
          <w:rFonts w:ascii="Cambria" w:hAnsi="Cambria"/>
        </w:rPr>
      </w:pPr>
      <w:r>
        <w:rPr>
          <w:rFonts w:ascii="Cambria" w:hAnsi="Cambria"/>
        </w:rPr>
        <w:t>La metodologia individua i seguenti fattori di apprezzamento:</w:t>
      </w:r>
    </w:p>
    <w:p w14:paraId="1B6DD8C8" w14:textId="77777777" w:rsidR="00FE6944" w:rsidRDefault="001B71AF">
      <w:pPr>
        <w:pStyle w:val="Paragrafoelenco"/>
        <w:numPr>
          <w:ilvl w:val="0"/>
          <w:numId w:val="2"/>
        </w:numPr>
        <w:spacing w:after="0" w:line="240" w:lineRule="auto"/>
        <w:ind w:left="284" w:hanging="284"/>
        <w:jc w:val="both"/>
        <w:rPr>
          <w:rFonts w:ascii="Cambria" w:hAnsi="Cambria"/>
          <w:color w:val="000000" w:themeColor="text1"/>
        </w:rPr>
      </w:pPr>
      <w:r>
        <w:rPr>
          <w:rFonts w:ascii="Cambria" w:hAnsi="Cambria"/>
          <w:color w:val="000000" w:themeColor="text1"/>
        </w:rPr>
        <w:t>il sapere applicato</w:t>
      </w:r>
      <w:r>
        <w:rPr>
          <w:rFonts w:ascii="Cambria" w:hAnsi="Cambria"/>
        </w:rPr>
        <w:t>: inteso come il patrimonio di conoscenze intellet</w:t>
      </w:r>
      <w:r>
        <w:rPr>
          <w:rFonts w:ascii="Cambria" w:hAnsi="Cambria"/>
        </w:rPr>
        <w:t>tuali concernenti l’ambito disciplinare di appartenenza, derivante dagli studi effettuati e dalle esperienze maturate. Questo fattore non valuta, in forma statica o astratta, le sole conoscenze possedute, ma rileva, in particolare, la disponibilità del dip</w:t>
      </w:r>
      <w:r>
        <w:rPr>
          <w:rFonts w:ascii="Cambria" w:hAnsi="Cambria"/>
        </w:rPr>
        <w:t xml:space="preserve">endente </w:t>
      </w:r>
      <w:r>
        <w:rPr>
          <w:rFonts w:ascii="Cambria" w:hAnsi="Cambria"/>
          <w:color w:val="000000" w:themeColor="text1"/>
        </w:rPr>
        <w:t>interessato a sviluppare il proprio patrimonio di saperi, attraverso l’aggiornamento, la formazione, il confronto con altre esperienze. Ancora, il sapere deve trovare concreta applicazione (“</w:t>
      </w:r>
      <w:r>
        <w:rPr>
          <w:rFonts w:ascii="Cambria" w:hAnsi="Cambria"/>
          <w:i/>
          <w:color w:val="000000" w:themeColor="text1"/>
        </w:rPr>
        <w:t>Non basta sapere, si deve anche applicare</w:t>
      </w:r>
      <w:r>
        <w:rPr>
          <w:rFonts w:ascii="Cambria" w:hAnsi="Cambria"/>
          <w:color w:val="000000" w:themeColor="text1"/>
        </w:rPr>
        <w:t>”), quindi l'app</w:t>
      </w:r>
      <w:r>
        <w:rPr>
          <w:rFonts w:ascii="Cambria" w:hAnsi="Cambria"/>
          <w:color w:val="000000" w:themeColor="text1"/>
        </w:rPr>
        <w:t>rezzamento di questo fattore concerne anche la propensione a metter in pratica le conoscenze al fine di realizzare gli obiettivi individuali e di performance;</w:t>
      </w:r>
    </w:p>
    <w:p w14:paraId="60221E49" w14:textId="77777777" w:rsidR="00FE6944" w:rsidRDefault="001B71AF">
      <w:pPr>
        <w:pStyle w:val="Paragrafoelenco"/>
        <w:numPr>
          <w:ilvl w:val="0"/>
          <w:numId w:val="2"/>
        </w:numPr>
        <w:spacing w:after="0" w:line="240" w:lineRule="auto"/>
        <w:ind w:left="284" w:hanging="284"/>
        <w:jc w:val="both"/>
        <w:rPr>
          <w:rFonts w:ascii="Cambria" w:hAnsi="Cambria"/>
          <w:color w:val="000000" w:themeColor="text1"/>
        </w:rPr>
      </w:pPr>
      <w:r>
        <w:rPr>
          <w:rFonts w:ascii="Cambria" w:hAnsi="Cambria"/>
          <w:color w:val="000000" w:themeColor="text1"/>
        </w:rPr>
        <w:t>le competenze relazionali: intese come capacità di porsi positivamente in un contesto organizzativo, con riguardo alla qualità e all'efficacia delle relazioni all’interno della struttura di appartenenza, con le altre strutture e con gli amministratori (rel</w:t>
      </w:r>
      <w:r>
        <w:rPr>
          <w:rFonts w:ascii="Cambria" w:hAnsi="Cambria"/>
          <w:color w:val="000000" w:themeColor="text1"/>
        </w:rPr>
        <w:t xml:space="preserve">azioni interne all'ente), oltre che nei rapporti con i cittadini e con tutti gli altri soggetti istituzionali e non (relazioni esterne all'Ente), con i quali l'interessato si relazioni; </w:t>
      </w:r>
    </w:p>
    <w:p w14:paraId="17F0C81D" w14:textId="77777777" w:rsidR="00FE6944" w:rsidRDefault="001B71AF">
      <w:pPr>
        <w:pStyle w:val="Paragrafoelenco"/>
        <w:numPr>
          <w:ilvl w:val="0"/>
          <w:numId w:val="2"/>
        </w:numPr>
        <w:spacing w:after="0" w:line="240" w:lineRule="auto"/>
        <w:ind w:left="284" w:hanging="284"/>
        <w:jc w:val="both"/>
        <w:rPr>
          <w:rFonts w:ascii="Cambria" w:hAnsi="Cambria"/>
          <w:color w:val="000000" w:themeColor="text1"/>
        </w:rPr>
      </w:pPr>
      <w:r>
        <w:rPr>
          <w:rFonts w:ascii="Cambria" w:hAnsi="Cambria"/>
          <w:color w:val="000000" w:themeColor="text1"/>
        </w:rPr>
        <w:t>la motivazione e valutazione dei collaboratori: intesa come attitudin</w:t>
      </w:r>
      <w:r>
        <w:rPr>
          <w:rFonts w:ascii="Cambria" w:hAnsi="Cambria"/>
          <w:color w:val="000000" w:themeColor="text1"/>
        </w:rPr>
        <w:t>e a valorizzare le competenze individuali, anche attraverso un processo valutativo focalizzato sulle aree di miglioramento e, laddove le dimensioni lo consentano, a promuovere il lavoro di gruppo e l'interdipendenza positiva tra i collaboratori. La differe</w:t>
      </w:r>
      <w:r>
        <w:rPr>
          <w:rFonts w:ascii="Cambria" w:hAnsi="Cambria"/>
          <w:color w:val="000000" w:themeColor="text1"/>
        </w:rPr>
        <w:t xml:space="preserve">nziazione delle valutazioni non costituisce un valore in sé, ma rileva la capacità del responsabile di evitare appiattimenti nel giudizio in presenza di capacità, competenze e apporti tra di loro diversi (il presente fattore è riservato ai responsabili di </w:t>
      </w:r>
      <w:r>
        <w:rPr>
          <w:rFonts w:ascii="Cambria" w:hAnsi="Cambria"/>
          <w:color w:val="000000" w:themeColor="text1"/>
        </w:rPr>
        <w:t xml:space="preserve">struttura);   </w:t>
      </w:r>
    </w:p>
    <w:p w14:paraId="0B39C21A" w14:textId="77777777" w:rsidR="00FE6944" w:rsidRDefault="001B71AF">
      <w:pPr>
        <w:pStyle w:val="Paragrafoelenco"/>
        <w:numPr>
          <w:ilvl w:val="0"/>
          <w:numId w:val="2"/>
        </w:numPr>
        <w:spacing w:after="0" w:line="240" w:lineRule="auto"/>
        <w:ind w:left="284" w:hanging="284"/>
        <w:jc w:val="both"/>
        <w:rPr>
          <w:rFonts w:ascii="Cambria" w:hAnsi="Cambria"/>
        </w:rPr>
      </w:pPr>
      <w:r>
        <w:rPr>
          <w:rFonts w:ascii="Cambria" w:hAnsi="Cambria"/>
        </w:rPr>
        <w:t xml:space="preserve">la capacità </w:t>
      </w:r>
      <w:r>
        <w:rPr>
          <w:rFonts w:ascii="Cambria" w:hAnsi="Cambria"/>
          <w:color w:val="000000" w:themeColor="text1"/>
        </w:rPr>
        <w:t>realizzativa: che rileva il grado di conseguimento degli obiettivi e dei compiti affidati, in relazione a specifici indicatori predeterminati</w:t>
      </w:r>
      <w:r>
        <w:rPr>
          <w:rFonts w:ascii="Cambria" w:hAnsi="Cambria"/>
        </w:rPr>
        <w:t>.</w:t>
      </w:r>
    </w:p>
    <w:p w14:paraId="41D81073" w14:textId="77777777" w:rsidR="00FE6944" w:rsidRDefault="001B71AF">
      <w:pPr>
        <w:spacing w:before="80" w:after="0" w:line="240" w:lineRule="auto"/>
        <w:jc w:val="both"/>
        <w:rPr>
          <w:rFonts w:ascii="Cambria" w:hAnsi="Cambria"/>
        </w:rPr>
      </w:pPr>
      <w:r>
        <w:rPr>
          <w:rFonts w:ascii="Cambria" w:hAnsi="Cambria"/>
        </w:rPr>
        <w:t xml:space="preserve">A seconda del ruolo ricoperto, questi fattori trovano diversa combinazione ed </w:t>
      </w:r>
      <w:r>
        <w:rPr>
          <w:rFonts w:ascii="Cambria" w:hAnsi="Cambria"/>
        </w:rPr>
        <w:t>interazione, come indicato nei successivi punti.</w:t>
      </w:r>
    </w:p>
    <w:p w14:paraId="18FBDDAD" w14:textId="77777777" w:rsidR="00FE6944" w:rsidRDefault="001B71AF">
      <w:pPr>
        <w:pStyle w:val="Titolo2"/>
        <w:spacing w:before="120" w:line="240" w:lineRule="auto"/>
        <w:rPr>
          <w:rFonts w:ascii="Cambria" w:hAnsi="Cambria"/>
          <w:b/>
          <w:color w:val="990000"/>
          <w:sz w:val="24"/>
          <w:szCs w:val="24"/>
        </w:rPr>
      </w:pPr>
      <w:r>
        <w:rPr>
          <w:rFonts w:ascii="Cambria" w:hAnsi="Cambria"/>
          <w:b/>
          <w:color w:val="990000"/>
          <w:sz w:val="24"/>
          <w:szCs w:val="24"/>
        </w:rPr>
        <w:t>1.2. Il contesto</w:t>
      </w:r>
      <w:bookmarkStart w:id="8" w:name="_Toc497578729"/>
      <w:bookmarkEnd w:id="8"/>
    </w:p>
    <w:p w14:paraId="1173FDC8" w14:textId="77777777" w:rsidR="00FE6944" w:rsidRDefault="001B71AF">
      <w:pPr>
        <w:spacing w:before="80" w:after="0" w:line="240" w:lineRule="auto"/>
        <w:jc w:val="both"/>
        <w:rPr>
          <w:rFonts w:ascii="Cambria" w:hAnsi="Cambria"/>
        </w:rPr>
      </w:pPr>
      <w:r>
        <w:rPr>
          <w:rFonts w:ascii="Cambria" w:hAnsi="Cambria"/>
        </w:rPr>
        <w:t>La metodologia opera con riferimento ai contenuti</w:t>
      </w:r>
      <w:r>
        <w:rPr>
          <w:rFonts w:ascii="Cambria" w:hAnsi="Cambria"/>
        </w:rPr>
        <w:t xml:space="preserve"> del </w:t>
      </w:r>
      <w:r>
        <w:rPr>
          <w:rFonts w:ascii="Cambria" w:hAnsi="Cambria"/>
          <w:sz w:val="26"/>
          <w:szCs w:val="26"/>
        </w:rPr>
        <w:t>Piano della performance</w:t>
      </w:r>
      <w:r>
        <w:rPr>
          <w:rFonts w:ascii="Cambria" w:hAnsi="Cambria"/>
        </w:rPr>
        <w:t xml:space="preserve">  redat</w:t>
      </w:r>
      <w:r>
        <w:rPr>
          <w:rFonts w:ascii="Cambria" w:hAnsi="Cambria"/>
        </w:rPr>
        <w:t xml:space="preserve">to </w:t>
      </w:r>
      <w:r>
        <w:rPr>
          <w:rFonts w:ascii="Cambria" w:hAnsi="Cambria"/>
          <w:sz w:val="26"/>
          <w:szCs w:val="26"/>
        </w:rPr>
        <w:t xml:space="preserve">in coerenza con i contenuti e le misure previste dal Piano triennale di prevenzione </w:t>
      </w:r>
      <w:r>
        <w:rPr>
          <w:rFonts w:ascii="Cambria" w:hAnsi="Cambria"/>
          <w:sz w:val="26"/>
          <w:szCs w:val="26"/>
        </w:rPr>
        <w:lastRenderedPageBreak/>
        <w:t>della corruz</w:t>
      </w:r>
      <w:r>
        <w:rPr>
          <w:rFonts w:ascii="Cambria" w:hAnsi="Cambria"/>
          <w:sz w:val="26"/>
          <w:szCs w:val="26"/>
        </w:rPr>
        <w:t xml:space="preserve">ione e </w:t>
      </w:r>
      <w:r>
        <w:rPr>
          <w:rFonts w:ascii="Cambria" w:hAnsi="Cambria"/>
          <w:sz w:val="26"/>
          <w:szCs w:val="26"/>
        </w:rPr>
        <w:t>ricondotto, laddove stabilito, al Piano integrato di attività e organizzazione (PIAO).</w:t>
      </w:r>
    </w:p>
    <w:p w14:paraId="29DBA385" w14:textId="77777777" w:rsidR="00FE6944" w:rsidRDefault="001B71AF">
      <w:pPr>
        <w:spacing w:after="60" w:line="288" w:lineRule="auto"/>
        <w:jc w:val="both"/>
        <w:rPr>
          <w:rFonts w:ascii="Cambria" w:hAnsi="Cambria"/>
          <w:color w:val="FF0000"/>
          <w:sz w:val="26"/>
          <w:szCs w:val="26"/>
        </w:rPr>
      </w:pPr>
      <w:r>
        <w:rPr>
          <w:rFonts w:ascii="Cambria" w:hAnsi="Cambria"/>
          <w:sz w:val="26"/>
          <w:szCs w:val="26"/>
        </w:rPr>
        <w:t>Infatti, come ricordato, gli obiettivi di gestione del PEG o di altro strumento semplificato, costituiscono obiettivi generali verso i quali indirizzare le attività e co</w:t>
      </w:r>
      <w:r>
        <w:rPr>
          <w:rFonts w:ascii="Cambria" w:hAnsi="Cambria"/>
          <w:sz w:val="26"/>
          <w:szCs w:val="26"/>
        </w:rPr>
        <w:t>ordinare le risorse nella gestione dei processi di erogazione di un determinato servizio, mentre gli obiettivi specifici, funzionali al conseguimento dei predetti obiettivi della gestione, sono indicati nel Piano della performance.</w:t>
      </w:r>
    </w:p>
    <w:p w14:paraId="6A1CF231" w14:textId="77777777" w:rsidR="00FE6944" w:rsidRDefault="001B71AF">
      <w:pPr>
        <w:spacing w:before="80" w:after="0" w:line="240" w:lineRule="auto"/>
        <w:jc w:val="both"/>
        <w:rPr>
          <w:rFonts w:ascii="Cambria" w:hAnsi="Cambria"/>
          <w:color w:val="000000" w:themeColor="text1"/>
        </w:rPr>
      </w:pPr>
      <w:r>
        <w:rPr>
          <w:rFonts w:ascii="Cambria" w:hAnsi="Cambria"/>
          <w:color w:val="000000" w:themeColor="text1"/>
        </w:rPr>
        <w:t>Come già detto, gli obie</w:t>
      </w:r>
      <w:r>
        <w:rPr>
          <w:rFonts w:ascii="Cambria" w:hAnsi="Cambria"/>
          <w:color w:val="000000" w:themeColor="text1"/>
        </w:rPr>
        <w:t>ttivi specifici, anche nell’eventualità abbiano un ciclo di vita superiore all’anno, debbono comunque prevedere appositi indicatori di risultato relativi ad ogni singola annualità.</w:t>
      </w:r>
    </w:p>
    <w:p w14:paraId="73842993" w14:textId="77777777" w:rsidR="00FE6944" w:rsidRDefault="001B71AF">
      <w:pPr>
        <w:spacing w:before="80" w:after="0" w:line="240" w:lineRule="auto"/>
        <w:jc w:val="both"/>
        <w:rPr>
          <w:rFonts w:ascii="Cambria" w:hAnsi="Cambria"/>
        </w:rPr>
      </w:pPr>
      <w:r>
        <w:rPr>
          <w:rFonts w:ascii="Cambria" w:hAnsi="Cambria"/>
        </w:rPr>
        <w:t>In particolare, gli obiettivi specifici debbono essere misurabili e monitor</w:t>
      </w:r>
      <w:r>
        <w:rPr>
          <w:rFonts w:ascii="Cambria" w:hAnsi="Cambria"/>
        </w:rPr>
        <w:t>abili e i relativi risultati attesi espressi mediante indicatori di:</w:t>
      </w:r>
    </w:p>
    <w:p w14:paraId="303BDC32" w14:textId="77777777" w:rsidR="00FE6944" w:rsidRDefault="001B71AF">
      <w:pPr>
        <w:pStyle w:val="Paragrafoelenco"/>
        <w:numPr>
          <w:ilvl w:val="0"/>
          <w:numId w:val="3"/>
        </w:numPr>
        <w:spacing w:after="0" w:line="240" w:lineRule="auto"/>
        <w:ind w:left="284" w:hanging="284"/>
        <w:jc w:val="both"/>
        <w:rPr>
          <w:rFonts w:ascii="Cambria" w:hAnsi="Cambria"/>
        </w:rPr>
      </w:pPr>
      <w:r>
        <w:rPr>
          <w:rFonts w:ascii="Cambria" w:hAnsi="Cambria"/>
        </w:rPr>
        <w:t>efficacia, secondo profili di qualità, di equità dei servizi e di soddisfazione dell'utenza;</w:t>
      </w:r>
    </w:p>
    <w:p w14:paraId="037B444F" w14:textId="77777777" w:rsidR="00FE6944" w:rsidRDefault="001B71AF">
      <w:pPr>
        <w:pStyle w:val="Paragrafoelenco"/>
        <w:numPr>
          <w:ilvl w:val="0"/>
          <w:numId w:val="3"/>
        </w:numPr>
        <w:spacing w:after="0" w:line="240" w:lineRule="auto"/>
        <w:ind w:left="284" w:hanging="284"/>
        <w:jc w:val="both"/>
        <w:rPr>
          <w:rFonts w:ascii="Cambria" w:hAnsi="Cambria"/>
        </w:rPr>
      </w:pPr>
      <w:r>
        <w:rPr>
          <w:rFonts w:ascii="Cambria" w:hAnsi="Cambria"/>
        </w:rPr>
        <w:t>efficienza, intesa quale rapporto tra risorse utilizzate e quantità di servizi prodotti o atti</w:t>
      </w:r>
      <w:r>
        <w:rPr>
          <w:rFonts w:ascii="Cambria" w:hAnsi="Cambria"/>
        </w:rPr>
        <w:t xml:space="preserve">vità svolta, </w:t>
      </w:r>
      <w:r>
        <w:rPr>
          <w:rFonts w:ascii="Cambria" w:hAnsi="Cambria"/>
          <w:color w:val="000000" w:themeColor="text1"/>
        </w:rPr>
        <w:t xml:space="preserve">anche in relazione al rispetto dei tempi predeterminati. </w:t>
      </w:r>
    </w:p>
    <w:p w14:paraId="2AF82B85" w14:textId="77777777" w:rsidR="00FE6944" w:rsidRDefault="001B71AF">
      <w:pPr>
        <w:spacing w:before="80" w:after="0" w:line="240" w:lineRule="auto"/>
        <w:jc w:val="both"/>
        <w:rPr>
          <w:rFonts w:ascii="Cambria" w:hAnsi="Cambria"/>
          <w:color w:val="000000" w:themeColor="text1"/>
        </w:rPr>
      </w:pPr>
      <w:r>
        <w:rPr>
          <w:rFonts w:ascii="Cambria" w:hAnsi="Cambria"/>
          <w:color w:val="000000" w:themeColor="text1"/>
        </w:rPr>
        <w:t>Gli obiettivi indica</w:t>
      </w:r>
      <w:r>
        <w:rPr>
          <w:rFonts w:ascii="Cambria" w:hAnsi="Cambria"/>
        </w:rPr>
        <w:t>ti dal Piano della Performance sono, di norma, descritti secondo il modello di cui all’allagato sub 1 e possono essere ponderati (c.d. “pesatura”), in relazione alla</w:t>
      </w:r>
      <w:r>
        <w:rPr>
          <w:rFonts w:ascii="Cambria" w:hAnsi="Cambria"/>
        </w:rPr>
        <w:t xml:space="preserve"> loro rilevanza strategica e complessità realizzativa, in modo differenz</w:t>
      </w:r>
      <w:r>
        <w:rPr>
          <w:rFonts w:ascii="Cambria" w:hAnsi="Cambria"/>
          <w:color w:val="000000" w:themeColor="text1"/>
        </w:rPr>
        <w:t>iato, ai fini della valutazione finale, come indicato nel predetto allegato (tale possibilità è conseguentemente contemplata nell’ambito della scheda di valutazione allegata sub 2). Se</w:t>
      </w:r>
      <w:r>
        <w:rPr>
          <w:rFonts w:ascii="Cambria" w:hAnsi="Cambria"/>
          <w:color w:val="000000" w:themeColor="text1"/>
        </w:rPr>
        <w:t xml:space="preserve"> prevista, la “pesatura” degli obiettivi viene approvata, per gli aspetti concernenti la complessità realizzativa, su proposta del Segretario comunale.</w:t>
      </w:r>
    </w:p>
    <w:p w14:paraId="0DAA563A" w14:textId="77777777" w:rsidR="00FE6944" w:rsidRDefault="001B71AF">
      <w:pPr>
        <w:spacing w:before="80" w:after="0" w:line="240" w:lineRule="auto"/>
        <w:jc w:val="both"/>
        <w:rPr>
          <w:rFonts w:ascii="Cambria" w:hAnsi="Cambria"/>
          <w:color w:val="000000" w:themeColor="text1"/>
        </w:rPr>
      </w:pPr>
      <w:r>
        <w:rPr>
          <w:rFonts w:ascii="Cambria" w:hAnsi="Cambria"/>
          <w:color w:val="000000" w:themeColor="text1"/>
        </w:rPr>
        <w:t>Tra gli obiettivi, debbono comunque prevedersi quelli concernenti modalità e condizioni di attuazione de</w:t>
      </w:r>
      <w:r>
        <w:rPr>
          <w:rFonts w:ascii="Cambria" w:hAnsi="Cambria"/>
          <w:color w:val="000000" w:themeColor="text1"/>
        </w:rPr>
        <w:t>i contenuti e delle misure previste dal Piano triennale di prevenzione della corruzione, comprese quelle relative agli obblighi di trasparenza. Il Nucleo di valutazione verifica, anche ai fini della validazione della Relazione sulla performance, che i pian</w:t>
      </w:r>
      <w:r>
        <w:rPr>
          <w:rFonts w:ascii="Cambria" w:hAnsi="Cambria"/>
          <w:color w:val="000000" w:themeColor="text1"/>
        </w:rPr>
        <w:t>i triennali per la prevenzione della corruzione siano coerenti con gli obiettivi stabiliti nei documenti di programmazione strategico-gestionale e che nella misurazione e valutazione delle performance si tenga conto degli obiettivi connessi all'anticorruzi</w:t>
      </w:r>
      <w:r>
        <w:rPr>
          <w:rFonts w:ascii="Cambria" w:hAnsi="Cambria"/>
          <w:color w:val="000000" w:themeColor="text1"/>
        </w:rPr>
        <w:t>one e alla trasparenza.</w:t>
      </w:r>
    </w:p>
    <w:p w14:paraId="5ABA986E" w14:textId="77777777" w:rsidR="00FE6944" w:rsidRDefault="00FE6944">
      <w:pPr>
        <w:spacing w:after="0" w:line="240" w:lineRule="auto"/>
        <w:ind w:left="66"/>
        <w:jc w:val="both"/>
        <w:rPr>
          <w:rFonts w:ascii="Cambria" w:hAnsi="Cambria"/>
        </w:rPr>
      </w:pPr>
    </w:p>
    <w:p w14:paraId="437697FE" w14:textId="77777777" w:rsidR="00FE6944" w:rsidRDefault="001B71AF">
      <w:pPr>
        <w:pStyle w:val="Titolo1"/>
        <w:numPr>
          <w:ilvl w:val="0"/>
          <w:numId w:val="1"/>
        </w:numPr>
        <w:spacing w:before="0" w:line="240" w:lineRule="auto"/>
        <w:ind w:left="284" w:hanging="284"/>
        <w:rPr>
          <w:rFonts w:ascii="Cambria" w:hAnsi="Cambria"/>
          <w:b/>
          <w:color w:val="990000"/>
          <w:sz w:val="26"/>
          <w:szCs w:val="26"/>
        </w:rPr>
      </w:pPr>
      <w:bookmarkStart w:id="9" w:name="_Toc497578730"/>
      <w:r>
        <w:rPr>
          <w:rFonts w:ascii="Cambria" w:hAnsi="Cambria"/>
          <w:b/>
          <w:color w:val="990000"/>
          <w:sz w:val="26"/>
          <w:szCs w:val="26"/>
        </w:rPr>
        <w:t>I soggetti competenti per la valutazione</w:t>
      </w:r>
      <w:bookmarkEnd w:id="9"/>
    </w:p>
    <w:p w14:paraId="37B1B18F" w14:textId="77777777" w:rsidR="00FE6944" w:rsidRDefault="001B71AF">
      <w:pPr>
        <w:spacing w:before="80" w:after="0" w:line="240" w:lineRule="auto"/>
        <w:jc w:val="both"/>
        <w:rPr>
          <w:rFonts w:ascii="Cambria" w:hAnsi="Cambria"/>
          <w:color w:val="000000" w:themeColor="text1"/>
        </w:rPr>
      </w:pPr>
      <w:r>
        <w:rPr>
          <w:rFonts w:ascii="Cambria" w:hAnsi="Cambria"/>
          <w:color w:val="000000" w:themeColor="text1"/>
        </w:rPr>
        <w:t>La valutazione dei Responsabili di struttura, opera con riferimento ai fattori indicati al precedente punto 1.1. In particolare:</w:t>
      </w:r>
    </w:p>
    <w:p w14:paraId="36F57CF6" w14:textId="77777777" w:rsidR="00FE6944" w:rsidRDefault="001B71AF">
      <w:pPr>
        <w:pStyle w:val="Paragrafoelenco"/>
        <w:numPr>
          <w:ilvl w:val="0"/>
          <w:numId w:val="4"/>
        </w:numPr>
        <w:spacing w:after="0" w:line="240" w:lineRule="auto"/>
        <w:ind w:left="284" w:hanging="284"/>
        <w:jc w:val="both"/>
        <w:rPr>
          <w:rFonts w:ascii="Cambria" w:hAnsi="Cambria"/>
          <w:color w:val="000000" w:themeColor="text1"/>
        </w:rPr>
      </w:pPr>
      <w:r>
        <w:rPr>
          <w:rFonts w:ascii="Cambria" w:hAnsi="Cambria"/>
          <w:color w:val="000000" w:themeColor="text1"/>
        </w:rPr>
        <w:t>con riguardo ai fattori concernenti il “</w:t>
      </w:r>
      <w:r>
        <w:rPr>
          <w:rFonts w:ascii="Cambria" w:hAnsi="Cambria"/>
          <w:i/>
          <w:color w:val="000000" w:themeColor="text1"/>
        </w:rPr>
        <w:t xml:space="preserve">sapere </w:t>
      </w:r>
      <w:r>
        <w:rPr>
          <w:rFonts w:ascii="Cambria" w:hAnsi="Cambria"/>
          <w:i/>
          <w:color w:val="000000" w:themeColor="text1"/>
        </w:rPr>
        <w:t>applicato</w:t>
      </w:r>
      <w:r>
        <w:rPr>
          <w:rFonts w:ascii="Cambria" w:hAnsi="Cambria"/>
          <w:color w:val="000000" w:themeColor="text1"/>
        </w:rPr>
        <w:t>” e le “</w:t>
      </w:r>
      <w:r>
        <w:rPr>
          <w:rFonts w:ascii="Cambria" w:hAnsi="Cambria"/>
          <w:i/>
          <w:color w:val="000000" w:themeColor="text1"/>
        </w:rPr>
        <w:t>competenze relazionali</w:t>
      </w:r>
      <w:r>
        <w:rPr>
          <w:rFonts w:ascii="Cambria" w:hAnsi="Cambria"/>
          <w:color w:val="000000" w:themeColor="text1"/>
        </w:rPr>
        <w:t>”, la valutazione è espressa dal Segretario comunale;</w:t>
      </w:r>
    </w:p>
    <w:p w14:paraId="02C7C42F" w14:textId="77777777" w:rsidR="00FE6944" w:rsidRDefault="001B71AF">
      <w:pPr>
        <w:pStyle w:val="Paragrafoelenco"/>
        <w:numPr>
          <w:ilvl w:val="0"/>
          <w:numId w:val="4"/>
        </w:numPr>
        <w:spacing w:after="0" w:line="240" w:lineRule="auto"/>
        <w:ind w:left="284" w:hanging="284"/>
        <w:jc w:val="both"/>
        <w:rPr>
          <w:rFonts w:ascii="Cambria" w:hAnsi="Cambria"/>
          <w:color w:val="000000" w:themeColor="text1"/>
        </w:rPr>
      </w:pPr>
      <w:r>
        <w:rPr>
          <w:rFonts w:ascii="Cambria" w:hAnsi="Cambria"/>
          <w:color w:val="000000" w:themeColor="text1"/>
        </w:rPr>
        <w:t>con riguardo ai fattori “</w:t>
      </w:r>
      <w:r>
        <w:rPr>
          <w:rFonts w:ascii="Cambria" w:hAnsi="Cambria"/>
          <w:i/>
          <w:color w:val="000000" w:themeColor="text1"/>
        </w:rPr>
        <w:t>motivazione e valutazione dei collaboratori</w:t>
      </w:r>
      <w:r>
        <w:rPr>
          <w:rFonts w:ascii="Cambria" w:hAnsi="Cambria"/>
          <w:color w:val="000000" w:themeColor="text1"/>
        </w:rPr>
        <w:t>” e “</w:t>
      </w:r>
      <w:r>
        <w:rPr>
          <w:rFonts w:ascii="Cambria" w:hAnsi="Cambria"/>
          <w:i/>
          <w:color w:val="000000" w:themeColor="text1"/>
        </w:rPr>
        <w:t>capacità realizzativa</w:t>
      </w:r>
      <w:r>
        <w:rPr>
          <w:rFonts w:ascii="Cambria" w:hAnsi="Cambria"/>
          <w:color w:val="000000" w:themeColor="text1"/>
        </w:rPr>
        <w:t xml:space="preserve">”, la valutazione è effettuata dal Nucleo di valutazione, acquisiti tutti relativi elementi che ne consentano l’apprezzamento. Il Segretario, se componente del Nucleo di valutazione e, contestualmente, anche RPCT, si astiene dalla fase valutativa relativa </w:t>
      </w:r>
      <w:r>
        <w:rPr>
          <w:rFonts w:ascii="Cambria" w:hAnsi="Cambria"/>
          <w:color w:val="000000" w:themeColor="text1"/>
        </w:rPr>
        <w:t xml:space="preserve">agli obiettivi concernenti l’attuazione delle misure previste dal Piano triennale di prevenzione della corruzione, comprese quelle riguardanti gli obblighi di trasparenza.  </w:t>
      </w:r>
    </w:p>
    <w:p w14:paraId="44BDF83F" w14:textId="77777777" w:rsidR="00FE6944" w:rsidRDefault="001B71AF">
      <w:pPr>
        <w:pStyle w:val="Paragrafoelenco"/>
        <w:spacing w:before="80" w:after="0" w:line="240" w:lineRule="auto"/>
        <w:ind w:left="0"/>
        <w:jc w:val="both"/>
        <w:rPr>
          <w:rFonts w:ascii="Cambria" w:hAnsi="Cambria"/>
        </w:rPr>
      </w:pPr>
      <w:r>
        <w:rPr>
          <w:rFonts w:ascii="Cambria" w:hAnsi="Cambria"/>
          <w:color w:val="000000" w:themeColor="text1"/>
        </w:rPr>
        <w:t xml:space="preserve">La valutazione dei dipendenti </w:t>
      </w:r>
      <w:r>
        <w:rPr>
          <w:rFonts w:ascii="Cambria" w:hAnsi="Cambria"/>
        </w:rPr>
        <w:t>(</w:t>
      </w:r>
      <w:r>
        <w:rPr>
          <w:rFonts w:ascii="Cambria" w:hAnsi="Cambria"/>
          <w:color w:val="000000" w:themeColor="text1"/>
        </w:rPr>
        <w:t xml:space="preserve">con riguardo ai fattori a), b) e d) del precedente </w:t>
      </w:r>
      <w:r>
        <w:rPr>
          <w:rFonts w:ascii="Cambria" w:hAnsi="Cambria"/>
          <w:color w:val="000000" w:themeColor="text1"/>
        </w:rPr>
        <w:t>punto 1.1)</w:t>
      </w:r>
      <w:r>
        <w:rPr>
          <w:rFonts w:ascii="Cambria" w:hAnsi="Cambria"/>
        </w:rPr>
        <w:t xml:space="preserve"> è effettuata dal Segretario Comunale sentiti i Responsabili della struttura organizzativa cui gli stessi afferiscono. </w:t>
      </w:r>
    </w:p>
    <w:p w14:paraId="46E95311" w14:textId="77777777" w:rsidR="00FE6944" w:rsidRDefault="001B71AF">
      <w:pPr>
        <w:spacing w:before="80" w:after="0" w:line="240" w:lineRule="auto"/>
        <w:jc w:val="both"/>
        <w:rPr>
          <w:rFonts w:ascii="Cambria" w:hAnsi="Cambria"/>
        </w:rPr>
      </w:pPr>
      <w:r>
        <w:rPr>
          <w:rFonts w:ascii="Cambria" w:hAnsi="Cambria"/>
        </w:rPr>
        <w:t>Al fine di semplificare la comprensione di ambiti, competenze e ruoli del sistema di valutazione, tali aspetti sono sintetizza</w:t>
      </w:r>
      <w:r>
        <w:rPr>
          <w:rFonts w:ascii="Cambria" w:hAnsi="Cambria"/>
        </w:rPr>
        <w:t>ti nel seguente quadro sinottico, che riporta, nelle righe, i fattori di valutazione, nelle colonne le figure valutate e, in ciascuna cella, il soggetto competente ad esercitare la valutazione:</w:t>
      </w:r>
    </w:p>
    <w:p w14:paraId="00249D47" w14:textId="77777777" w:rsidR="00FE6944" w:rsidRDefault="00FE6944">
      <w:pPr>
        <w:spacing w:after="0" w:line="240" w:lineRule="auto"/>
        <w:jc w:val="both"/>
        <w:rPr>
          <w:rFonts w:ascii="Cambria" w:hAnsi="Cambria"/>
          <w:sz w:val="16"/>
          <w:szCs w:val="16"/>
        </w:rPr>
      </w:pPr>
    </w:p>
    <w:tbl>
      <w:tblPr>
        <w:tblStyle w:val="Tabellagriglia5scura-colore31"/>
        <w:tblW w:w="8790" w:type="dxa"/>
        <w:jc w:val="center"/>
        <w:shd w:val="clear" w:color="auto" w:fill="EDEDED"/>
        <w:tblLook w:val="04A0" w:firstRow="1" w:lastRow="0" w:firstColumn="1" w:lastColumn="0" w:noHBand="0" w:noVBand="1"/>
      </w:tblPr>
      <w:tblGrid>
        <w:gridCol w:w="3119"/>
        <w:gridCol w:w="2835"/>
        <w:gridCol w:w="2836"/>
      </w:tblGrid>
      <w:tr w:rsidR="00FE6944" w14:paraId="15E5C942" w14:textId="77777777" w:rsidTr="00FE6944">
        <w:trPr>
          <w:cnfStyle w:val="100000000000" w:firstRow="1" w:lastRow="0" w:firstColumn="0" w:lastColumn="0" w:oddVBand="0" w:evenVBand="0" w:oddHBand="0"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833C0B"/>
              <w:left w:val="single" w:sz="4" w:space="0" w:color="833C0B"/>
            </w:tcBorders>
            <w:vAlign w:val="center"/>
          </w:tcPr>
          <w:p w14:paraId="17B26810" w14:textId="77777777" w:rsidR="00FE6944" w:rsidRDefault="00FE6944">
            <w:pPr>
              <w:spacing w:after="0" w:line="240" w:lineRule="auto"/>
              <w:jc w:val="center"/>
              <w:rPr>
                <w:rFonts w:ascii="Cambria" w:hAnsi="Cambria"/>
                <w:w w:val="90"/>
              </w:rPr>
            </w:pPr>
          </w:p>
        </w:tc>
        <w:tc>
          <w:tcPr>
            <w:tcW w:w="2835" w:type="dxa"/>
            <w:tcBorders>
              <w:top w:val="single" w:sz="4" w:space="0" w:color="833C0B"/>
              <w:bottom w:val="nil"/>
            </w:tcBorders>
            <w:vAlign w:val="center"/>
          </w:tcPr>
          <w:p w14:paraId="324EFB4A" w14:textId="77777777" w:rsidR="00FE6944" w:rsidRDefault="001B71A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w w:val="90"/>
              </w:rPr>
            </w:pPr>
            <w:r>
              <w:rPr>
                <w:rFonts w:ascii="Cambria" w:hAnsi="Cambria"/>
                <w:color w:val="FFFFFF" w:themeColor="background1"/>
                <w:w w:val="90"/>
              </w:rPr>
              <w:t>Responsabili di struttura</w:t>
            </w:r>
          </w:p>
        </w:tc>
        <w:tc>
          <w:tcPr>
            <w:tcW w:w="2836" w:type="dxa"/>
            <w:tcBorders>
              <w:top w:val="single" w:sz="4" w:space="0" w:color="833C0B"/>
              <w:bottom w:val="nil"/>
              <w:right w:val="single" w:sz="4" w:space="0" w:color="833C0B"/>
            </w:tcBorders>
            <w:vAlign w:val="center"/>
          </w:tcPr>
          <w:p w14:paraId="1B0B270C" w14:textId="77777777" w:rsidR="00FE6944" w:rsidRDefault="001B71A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w w:val="90"/>
              </w:rPr>
            </w:pPr>
            <w:r>
              <w:rPr>
                <w:rFonts w:ascii="Cambria" w:hAnsi="Cambria"/>
                <w:color w:val="FFFFFF" w:themeColor="background1"/>
                <w:w w:val="90"/>
              </w:rPr>
              <w:t>Dipendenti</w:t>
            </w:r>
          </w:p>
        </w:tc>
      </w:tr>
      <w:tr w:rsidR="00FE6944" w14:paraId="41667139" w14:textId="77777777" w:rsidTr="00FE6944">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3119" w:type="dxa"/>
            <w:tcBorders>
              <w:left w:val="single" w:sz="4" w:space="0" w:color="833C0B"/>
              <w:right w:val="nil"/>
            </w:tcBorders>
            <w:vAlign w:val="center"/>
          </w:tcPr>
          <w:p w14:paraId="2B66B0E9" w14:textId="77777777" w:rsidR="00FE6944" w:rsidRDefault="001B71AF">
            <w:pPr>
              <w:spacing w:after="0" w:line="240" w:lineRule="auto"/>
              <w:rPr>
                <w:rFonts w:ascii="Cambria" w:hAnsi="Cambria"/>
              </w:rPr>
            </w:pPr>
            <w:r>
              <w:rPr>
                <w:rFonts w:ascii="Cambria" w:hAnsi="Cambria"/>
                <w:color w:val="FFFFFF" w:themeColor="background1"/>
              </w:rPr>
              <w:t xml:space="preserve">Sapere </w:t>
            </w:r>
            <w:r>
              <w:rPr>
                <w:rFonts w:ascii="Cambria" w:hAnsi="Cambria"/>
                <w:color w:val="FFFFFF" w:themeColor="background1"/>
              </w:rPr>
              <w:t>applicato</w:t>
            </w:r>
          </w:p>
        </w:tc>
        <w:tc>
          <w:tcPr>
            <w:tcW w:w="2835" w:type="dxa"/>
            <w:tcBorders>
              <w:top w:val="single" w:sz="4" w:space="0" w:color="833C0B"/>
              <w:left w:val="single" w:sz="4" w:space="0" w:color="833C0B"/>
              <w:bottom w:val="single" w:sz="4" w:space="0" w:color="833C0B"/>
              <w:right w:val="single" w:sz="4" w:space="0" w:color="833C0B"/>
            </w:tcBorders>
            <w:vAlign w:val="center"/>
          </w:tcPr>
          <w:p w14:paraId="1D9D9C82" w14:textId="77777777" w:rsidR="00FE6944" w:rsidRDefault="001B71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Segretario comunale</w:t>
            </w:r>
          </w:p>
        </w:tc>
        <w:tc>
          <w:tcPr>
            <w:tcW w:w="2836" w:type="dxa"/>
            <w:tcBorders>
              <w:top w:val="single" w:sz="4" w:space="0" w:color="833C0B"/>
              <w:left w:val="single" w:sz="4" w:space="0" w:color="833C0B"/>
              <w:bottom w:val="single" w:sz="4" w:space="0" w:color="833C0B"/>
              <w:right w:val="single" w:sz="4" w:space="0" w:color="833C0B"/>
            </w:tcBorders>
            <w:vAlign w:val="center"/>
          </w:tcPr>
          <w:p w14:paraId="4289F41A" w14:textId="77777777" w:rsidR="00FE6944" w:rsidRDefault="001B71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Segretario Comunale</w:t>
            </w:r>
          </w:p>
        </w:tc>
      </w:tr>
      <w:tr w:rsidR="00FE6944" w14:paraId="6D5A36ED" w14:textId="77777777" w:rsidTr="00FE6944">
        <w:trPr>
          <w:trHeight w:val="529"/>
          <w:jc w:val="center"/>
        </w:trPr>
        <w:tc>
          <w:tcPr>
            <w:cnfStyle w:val="001000000000" w:firstRow="0" w:lastRow="0" w:firstColumn="1" w:lastColumn="0" w:oddVBand="0" w:evenVBand="0" w:oddHBand="0" w:evenHBand="0" w:firstRowFirstColumn="0" w:firstRowLastColumn="0" w:lastRowFirstColumn="0" w:lastRowLastColumn="0"/>
            <w:tcW w:w="3119" w:type="dxa"/>
            <w:tcBorders>
              <w:left w:val="single" w:sz="4" w:space="0" w:color="833C0B"/>
              <w:right w:val="nil"/>
            </w:tcBorders>
            <w:vAlign w:val="center"/>
          </w:tcPr>
          <w:p w14:paraId="12126124" w14:textId="77777777" w:rsidR="00FE6944" w:rsidRDefault="001B71AF">
            <w:pPr>
              <w:spacing w:after="0" w:line="240" w:lineRule="auto"/>
              <w:rPr>
                <w:rFonts w:ascii="Cambria" w:hAnsi="Cambria"/>
              </w:rPr>
            </w:pPr>
            <w:r>
              <w:rPr>
                <w:rFonts w:ascii="Cambria" w:hAnsi="Cambria"/>
                <w:color w:val="FFFFFF" w:themeColor="background1"/>
              </w:rPr>
              <w:t>Competenza relazionali</w:t>
            </w:r>
          </w:p>
        </w:tc>
        <w:tc>
          <w:tcPr>
            <w:tcW w:w="2835" w:type="dxa"/>
            <w:tcBorders>
              <w:top w:val="single" w:sz="4" w:space="0" w:color="833C0B"/>
              <w:left w:val="single" w:sz="4" w:space="0" w:color="833C0B"/>
              <w:bottom w:val="single" w:sz="4" w:space="0" w:color="833C0B"/>
              <w:right w:val="single" w:sz="4" w:space="0" w:color="833C0B"/>
            </w:tcBorders>
            <w:vAlign w:val="center"/>
          </w:tcPr>
          <w:p w14:paraId="662555DA" w14:textId="77777777" w:rsidR="00FE6944" w:rsidRDefault="001B71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Segretario comunale</w:t>
            </w:r>
          </w:p>
        </w:tc>
        <w:tc>
          <w:tcPr>
            <w:tcW w:w="2836" w:type="dxa"/>
            <w:tcBorders>
              <w:top w:val="single" w:sz="4" w:space="0" w:color="833C0B"/>
              <w:left w:val="single" w:sz="4" w:space="0" w:color="833C0B"/>
              <w:bottom w:val="single" w:sz="4" w:space="0" w:color="833C0B"/>
              <w:right w:val="single" w:sz="4" w:space="0" w:color="833C0B"/>
            </w:tcBorders>
            <w:vAlign w:val="center"/>
          </w:tcPr>
          <w:p w14:paraId="415B79BE" w14:textId="77777777" w:rsidR="00FE6944" w:rsidRDefault="001B71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Segretario Comunale</w:t>
            </w:r>
          </w:p>
        </w:tc>
      </w:tr>
      <w:tr w:rsidR="00FE6944" w14:paraId="0214C3E2" w14:textId="77777777" w:rsidTr="00FE6944">
        <w:trPr>
          <w:cnfStyle w:val="000000100000" w:firstRow="0" w:lastRow="0" w:firstColumn="0" w:lastColumn="0" w:oddVBand="0" w:evenVBand="0" w:oddHBand="1" w:evenHBand="0" w:firstRowFirstColumn="0" w:firstRowLastColumn="0" w:lastRowFirstColumn="0" w:lastRowLastColumn="0"/>
          <w:trHeight w:val="641"/>
          <w:jc w:val="center"/>
        </w:trPr>
        <w:tc>
          <w:tcPr>
            <w:cnfStyle w:val="001000000000" w:firstRow="0" w:lastRow="0" w:firstColumn="1" w:lastColumn="0" w:oddVBand="0" w:evenVBand="0" w:oddHBand="0" w:evenHBand="0" w:firstRowFirstColumn="0" w:firstRowLastColumn="0" w:lastRowFirstColumn="0" w:lastRowLastColumn="0"/>
            <w:tcW w:w="3119" w:type="dxa"/>
            <w:tcBorders>
              <w:right w:val="nil"/>
            </w:tcBorders>
            <w:vAlign w:val="center"/>
          </w:tcPr>
          <w:p w14:paraId="38FA182F" w14:textId="77777777" w:rsidR="00FE6944" w:rsidRDefault="001B71AF">
            <w:pPr>
              <w:spacing w:after="0" w:line="240" w:lineRule="auto"/>
              <w:rPr>
                <w:rFonts w:ascii="Cambria" w:hAnsi="Cambria"/>
              </w:rPr>
            </w:pPr>
            <w:r>
              <w:rPr>
                <w:rFonts w:ascii="Cambria" w:hAnsi="Cambria"/>
                <w:color w:val="FFFFFF" w:themeColor="background1"/>
              </w:rPr>
              <w:t>Motivazione e valutazione dei collaboratori</w:t>
            </w:r>
          </w:p>
        </w:tc>
        <w:tc>
          <w:tcPr>
            <w:tcW w:w="2835" w:type="dxa"/>
            <w:tcBorders>
              <w:top w:val="single" w:sz="4" w:space="0" w:color="833C0B"/>
              <w:left w:val="single" w:sz="4" w:space="0" w:color="833C0B"/>
              <w:bottom w:val="single" w:sz="4" w:space="0" w:color="833C0B"/>
              <w:right w:val="single" w:sz="4" w:space="0" w:color="833C0B"/>
            </w:tcBorders>
            <w:vAlign w:val="center"/>
          </w:tcPr>
          <w:p w14:paraId="6D7EA71A" w14:textId="77777777" w:rsidR="00FE6944" w:rsidRDefault="001B71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Nucleo di valutazione</w:t>
            </w:r>
          </w:p>
        </w:tc>
        <w:tc>
          <w:tcPr>
            <w:tcW w:w="2836" w:type="dxa"/>
            <w:tcBorders>
              <w:top w:val="single" w:sz="4" w:space="0" w:color="833C0B"/>
              <w:left w:val="single" w:sz="4" w:space="0" w:color="833C0B"/>
              <w:bottom w:val="single" w:sz="4" w:space="0" w:color="833C0B"/>
              <w:right w:val="single" w:sz="4" w:space="0" w:color="833C0B"/>
            </w:tcBorders>
            <w:vAlign w:val="center"/>
          </w:tcPr>
          <w:p w14:paraId="2EDD7D18" w14:textId="77777777" w:rsidR="00FE6944" w:rsidRDefault="001B71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Fattore non valutato</w:t>
            </w:r>
          </w:p>
        </w:tc>
      </w:tr>
      <w:tr w:rsidR="00FE6944" w14:paraId="2DFAB724" w14:textId="77777777" w:rsidTr="00FE6944">
        <w:trPr>
          <w:trHeight w:val="543"/>
          <w:jc w:val="center"/>
        </w:trPr>
        <w:tc>
          <w:tcPr>
            <w:cnfStyle w:val="001000000000" w:firstRow="0" w:lastRow="0" w:firstColumn="1" w:lastColumn="0" w:oddVBand="0" w:evenVBand="0" w:oddHBand="0" w:evenHBand="0" w:firstRowFirstColumn="0" w:firstRowLastColumn="0" w:lastRowFirstColumn="0" w:lastRowLastColumn="0"/>
            <w:tcW w:w="3119" w:type="dxa"/>
            <w:tcBorders>
              <w:left w:val="single" w:sz="4" w:space="0" w:color="833C0B"/>
              <w:bottom w:val="single" w:sz="4" w:space="0" w:color="833C0B"/>
              <w:right w:val="nil"/>
            </w:tcBorders>
            <w:vAlign w:val="center"/>
          </w:tcPr>
          <w:p w14:paraId="71AB777C" w14:textId="77777777" w:rsidR="00FE6944" w:rsidRDefault="001B71AF">
            <w:pPr>
              <w:spacing w:after="0" w:line="240" w:lineRule="auto"/>
              <w:rPr>
                <w:rFonts w:ascii="Cambria" w:hAnsi="Cambria"/>
              </w:rPr>
            </w:pPr>
            <w:r>
              <w:rPr>
                <w:rFonts w:ascii="Cambria" w:hAnsi="Cambria"/>
                <w:color w:val="FFFFFF" w:themeColor="background1"/>
              </w:rPr>
              <w:t>Capacità realizzativa</w:t>
            </w:r>
          </w:p>
        </w:tc>
        <w:tc>
          <w:tcPr>
            <w:tcW w:w="2835" w:type="dxa"/>
            <w:tcBorders>
              <w:top w:val="single" w:sz="4" w:space="0" w:color="833C0B"/>
              <w:left w:val="single" w:sz="4" w:space="0" w:color="833C0B"/>
              <w:bottom w:val="single" w:sz="4" w:space="0" w:color="833C0B"/>
              <w:right w:val="single" w:sz="4" w:space="0" w:color="833C0B"/>
            </w:tcBorders>
            <w:vAlign w:val="center"/>
          </w:tcPr>
          <w:p w14:paraId="5A13CDB4" w14:textId="77777777" w:rsidR="00FE6944" w:rsidRDefault="001B71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 xml:space="preserve">Nucleo di </w:t>
            </w:r>
            <w:r>
              <w:rPr>
                <w:rFonts w:ascii="Cambria" w:hAnsi="Cambria"/>
              </w:rPr>
              <w:t>valutazione</w:t>
            </w:r>
          </w:p>
        </w:tc>
        <w:tc>
          <w:tcPr>
            <w:tcW w:w="2836" w:type="dxa"/>
            <w:tcBorders>
              <w:top w:val="single" w:sz="4" w:space="0" w:color="833C0B"/>
              <w:left w:val="single" w:sz="4" w:space="0" w:color="833C0B"/>
              <w:bottom w:val="single" w:sz="4" w:space="0" w:color="833C0B"/>
              <w:right w:val="single" w:sz="4" w:space="0" w:color="833C0B"/>
            </w:tcBorders>
            <w:vAlign w:val="center"/>
          </w:tcPr>
          <w:p w14:paraId="44C75452" w14:textId="77777777" w:rsidR="00FE6944" w:rsidRDefault="001B71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Segretario Comunale</w:t>
            </w:r>
          </w:p>
        </w:tc>
      </w:tr>
    </w:tbl>
    <w:p w14:paraId="0650A265" w14:textId="77777777" w:rsidR="00FE6944" w:rsidRDefault="00FE6944">
      <w:pPr>
        <w:pStyle w:val="Titolo1"/>
        <w:spacing w:before="0" w:line="240" w:lineRule="auto"/>
        <w:rPr>
          <w:rFonts w:ascii="Cambria" w:hAnsi="Cambria"/>
          <w:b/>
          <w:color w:val="auto"/>
          <w:sz w:val="22"/>
          <w:szCs w:val="22"/>
        </w:rPr>
      </w:pPr>
      <w:bookmarkStart w:id="10" w:name="_Toc497578731"/>
      <w:bookmarkEnd w:id="10"/>
    </w:p>
    <w:p w14:paraId="5E72A6A6" w14:textId="77777777" w:rsidR="00FE6944" w:rsidRDefault="001B71AF">
      <w:pPr>
        <w:pStyle w:val="Titolo1"/>
        <w:numPr>
          <w:ilvl w:val="0"/>
          <w:numId w:val="1"/>
        </w:numPr>
        <w:spacing w:before="0" w:line="240" w:lineRule="auto"/>
        <w:ind w:left="284" w:hanging="284"/>
        <w:rPr>
          <w:rFonts w:ascii="Cambria" w:hAnsi="Cambria"/>
          <w:b/>
          <w:color w:val="990000"/>
          <w:sz w:val="26"/>
          <w:szCs w:val="26"/>
        </w:rPr>
      </w:pPr>
      <w:r>
        <w:rPr>
          <w:rFonts w:ascii="Cambria" w:hAnsi="Cambria"/>
          <w:b/>
          <w:color w:val="990000"/>
          <w:sz w:val="26"/>
          <w:szCs w:val="26"/>
        </w:rPr>
        <w:t>Il processo di valutazione</w:t>
      </w:r>
    </w:p>
    <w:p w14:paraId="6F7023B7" w14:textId="77777777" w:rsidR="00FE6944" w:rsidRDefault="001B71AF">
      <w:pPr>
        <w:spacing w:before="80" w:after="0" w:line="240" w:lineRule="auto"/>
        <w:jc w:val="both"/>
        <w:rPr>
          <w:rFonts w:ascii="Cambria" w:hAnsi="Cambria"/>
        </w:rPr>
      </w:pPr>
      <w:r>
        <w:rPr>
          <w:rFonts w:ascii="Cambria" w:hAnsi="Cambria"/>
        </w:rPr>
        <w:t xml:space="preserve">Sulla base degli atti di programmazione gestionale dell’anno di riferimento, il Segretario comunale incontra i Responsabili di struttura per pianificarne la dimensione attuativa, anche con </w:t>
      </w:r>
      <w:r>
        <w:rPr>
          <w:rFonts w:ascii="Cambria" w:hAnsi="Cambria"/>
        </w:rPr>
        <w:t>riferimento agli ambiti e ai contenuti oggetto di valutazione.</w:t>
      </w:r>
    </w:p>
    <w:p w14:paraId="3C171586" w14:textId="77777777" w:rsidR="00FE6944" w:rsidRDefault="001B71AF">
      <w:pPr>
        <w:spacing w:before="80" w:after="0" w:line="240" w:lineRule="auto"/>
        <w:jc w:val="both"/>
        <w:rPr>
          <w:rFonts w:ascii="Cambria" w:hAnsi="Cambria"/>
          <w:color w:val="000000" w:themeColor="text1"/>
        </w:rPr>
      </w:pPr>
      <w:r>
        <w:rPr>
          <w:rFonts w:ascii="Cambria" w:hAnsi="Cambria"/>
        </w:rPr>
        <w:t xml:space="preserve">Analoghi incontri sono effettuati dai Responsabili di struttura con i propri dipendenti, per la pianificazione attuativa dell’attività di competenza, </w:t>
      </w:r>
      <w:r>
        <w:rPr>
          <w:rFonts w:ascii="Cambria" w:hAnsi="Cambria"/>
          <w:color w:val="000000" w:themeColor="text1"/>
        </w:rPr>
        <w:t xml:space="preserve">con l’individuazione di appositi obiettivi </w:t>
      </w:r>
      <w:r>
        <w:rPr>
          <w:rFonts w:ascii="Cambria" w:hAnsi="Cambria"/>
          <w:color w:val="000000" w:themeColor="text1"/>
        </w:rPr>
        <w:t>di gruppo o individuali.</w:t>
      </w:r>
    </w:p>
    <w:p w14:paraId="5CA17AD6" w14:textId="77777777" w:rsidR="00FE6944" w:rsidRDefault="001B71AF">
      <w:pPr>
        <w:spacing w:before="80" w:after="0" w:line="240" w:lineRule="auto"/>
        <w:jc w:val="both"/>
        <w:rPr>
          <w:rFonts w:ascii="Cambria" w:hAnsi="Cambria"/>
        </w:rPr>
      </w:pPr>
      <w:r>
        <w:rPr>
          <w:rFonts w:ascii="Cambria" w:hAnsi="Cambria"/>
        </w:rPr>
        <w:t>La valutazione definitiva è effettuata al termine di ciascun anno. Compito dei soggetti competenti per la valutazione è quello di monitorare con continuità l’attività e le prestazioni dei dipendenti.</w:t>
      </w:r>
    </w:p>
    <w:p w14:paraId="39F256AF" w14:textId="77777777" w:rsidR="00FE6944" w:rsidRDefault="001B71AF">
      <w:pPr>
        <w:spacing w:before="80" w:after="0" w:line="240" w:lineRule="auto"/>
        <w:jc w:val="both"/>
        <w:rPr>
          <w:rFonts w:ascii="Cambria" w:hAnsi="Cambria"/>
        </w:rPr>
      </w:pPr>
      <w:r>
        <w:rPr>
          <w:rFonts w:ascii="Cambria" w:hAnsi="Cambria"/>
        </w:rPr>
        <w:t>In ogni caso, è prevista u</w:t>
      </w:r>
      <w:r>
        <w:rPr>
          <w:rFonts w:ascii="Cambria" w:hAnsi="Cambria"/>
        </w:rPr>
        <w:t>na ve</w:t>
      </w:r>
      <w:r>
        <w:rPr>
          <w:rFonts w:ascii="Cambria" w:hAnsi="Cambria"/>
        </w:rPr>
        <w:t>rifica intermedia ent</w:t>
      </w:r>
      <w:r>
        <w:rPr>
          <w:rFonts w:ascii="Cambria" w:hAnsi="Cambria"/>
        </w:rPr>
        <w:t>ro 31 luglio di ciascun anno, effettuata dal Segretario Comunale sentiti i Responsabili di struttura insieme ai propri dipendenti e finalizzato a rilevare gli eventuali scostamenti tra quanto programmato e quanto effettivamente realizz</w:t>
      </w:r>
      <w:r>
        <w:rPr>
          <w:rFonts w:ascii="Cambria" w:hAnsi="Cambria"/>
        </w:rPr>
        <w:t>ato.</w:t>
      </w:r>
    </w:p>
    <w:p w14:paraId="20F4437B" w14:textId="77777777" w:rsidR="00FE6944" w:rsidRDefault="001B71AF">
      <w:pPr>
        <w:spacing w:before="80" w:after="0" w:line="240" w:lineRule="auto"/>
        <w:jc w:val="both"/>
        <w:rPr>
          <w:rFonts w:ascii="Cambria" w:hAnsi="Cambria"/>
        </w:rPr>
      </w:pPr>
      <w:r>
        <w:rPr>
          <w:rFonts w:ascii="Cambria" w:hAnsi="Cambria"/>
        </w:rPr>
        <w:t xml:space="preserve">Il Segretario Comunale effettua, entro il predetto termine del 31 luglio, una analoga verifica insieme ai Responsabili di struttura. </w:t>
      </w:r>
    </w:p>
    <w:p w14:paraId="55CD793C" w14:textId="77777777" w:rsidR="00FE6944" w:rsidRDefault="001B71AF">
      <w:pPr>
        <w:spacing w:before="80" w:after="0" w:line="240" w:lineRule="auto"/>
        <w:jc w:val="both"/>
        <w:rPr>
          <w:rFonts w:ascii="Cambria" w:hAnsi="Cambria"/>
          <w:color w:val="000000" w:themeColor="text1"/>
        </w:rPr>
      </w:pPr>
      <w:r>
        <w:rPr>
          <w:rFonts w:ascii="Cambria" w:hAnsi="Cambria"/>
        </w:rPr>
        <w:t>Gli esiti delle verifiche o e ogni altro elemento o situazione rilevati nel corso della gestione, che risultino significat</w:t>
      </w:r>
      <w:r>
        <w:rPr>
          <w:rFonts w:ascii="Cambria" w:hAnsi="Cambria"/>
        </w:rPr>
        <w:t xml:space="preserve">ivi ai fini del presente processo, sono resi disponibili al Nucleo di valutazione, </w:t>
      </w:r>
      <w:r>
        <w:rPr>
          <w:rFonts w:ascii="Cambria" w:hAnsi="Cambria"/>
          <w:color w:val="000000" w:themeColor="text1"/>
        </w:rPr>
        <w:t xml:space="preserve">il quale, se del caso, segnala all’Amministrazione la necessità o l’opportunità di interventi correttivi in corso di esercizio. </w:t>
      </w:r>
    </w:p>
    <w:p w14:paraId="46B0CB70" w14:textId="77777777" w:rsidR="00FE6944" w:rsidRDefault="001B71AF">
      <w:pPr>
        <w:spacing w:before="80" w:after="0" w:line="240" w:lineRule="auto"/>
        <w:jc w:val="both"/>
        <w:rPr>
          <w:rFonts w:ascii="Cambria" w:hAnsi="Cambria"/>
          <w:color w:val="000000" w:themeColor="text1"/>
        </w:rPr>
      </w:pPr>
      <w:r>
        <w:rPr>
          <w:rFonts w:ascii="Cambria" w:hAnsi="Cambria"/>
          <w:color w:val="000000" w:themeColor="text1"/>
        </w:rPr>
        <w:t>Sia per la valutazione finale che per quelle</w:t>
      </w:r>
      <w:r>
        <w:rPr>
          <w:rFonts w:ascii="Cambria" w:hAnsi="Cambria"/>
          <w:color w:val="000000" w:themeColor="text1"/>
        </w:rPr>
        <w:t xml:space="preserve"> intermedie, è resa disponibile la scheda di rendicontazione, allegata sub 1-bis.</w:t>
      </w:r>
    </w:p>
    <w:p w14:paraId="07795CF6" w14:textId="77777777" w:rsidR="00FE6944" w:rsidRDefault="001B71AF">
      <w:pPr>
        <w:spacing w:before="80" w:after="0" w:line="240" w:lineRule="auto"/>
        <w:jc w:val="both"/>
        <w:rPr>
          <w:rFonts w:ascii="Cambria" w:hAnsi="Cambria"/>
          <w:color w:val="000000" w:themeColor="text1"/>
        </w:rPr>
      </w:pPr>
      <w:r>
        <w:rPr>
          <w:rFonts w:ascii="Cambria" w:hAnsi="Cambria"/>
          <w:color w:val="000000" w:themeColor="text1"/>
        </w:rPr>
        <w:t xml:space="preserve">Saranno sottoposti a valutazione unicamente i dipendenti che avranno prestato la propria attività lavorativa per almeno tre mesi nel corso dell’anno solare, con relativa non </w:t>
      </w:r>
      <w:r>
        <w:rPr>
          <w:rFonts w:ascii="Cambria" w:hAnsi="Cambria"/>
          <w:color w:val="000000" w:themeColor="text1"/>
        </w:rPr>
        <w:t>ammissione alla fruizione della performance.</w:t>
      </w:r>
    </w:p>
    <w:p w14:paraId="55EFF19A" w14:textId="77777777" w:rsidR="00FE6944" w:rsidRDefault="00FE6944">
      <w:pPr>
        <w:spacing w:after="0" w:line="240" w:lineRule="auto"/>
        <w:jc w:val="both"/>
        <w:rPr>
          <w:rFonts w:ascii="Cambria" w:hAnsi="Cambria"/>
        </w:rPr>
      </w:pPr>
    </w:p>
    <w:p w14:paraId="71148F89" w14:textId="77777777" w:rsidR="00FE6944" w:rsidRDefault="001B71AF">
      <w:pPr>
        <w:pStyle w:val="Titolo1"/>
        <w:numPr>
          <w:ilvl w:val="0"/>
          <w:numId w:val="1"/>
        </w:numPr>
        <w:spacing w:before="0" w:line="240" w:lineRule="auto"/>
        <w:ind w:left="284" w:hanging="284"/>
        <w:jc w:val="both"/>
        <w:rPr>
          <w:rFonts w:ascii="Cambria" w:hAnsi="Cambria"/>
          <w:b/>
          <w:color w:val="990000"/>
          <w:sz w:val="26"/>
          <w:szCs w:val="26"/>
        </w:rPr>
      </w:pPr>
      <w:bookmarkStart w:id="11" w:name="_Toc497578732"/>
      <w:r>
        <w:rPr>
          <w:rFonts w:ascii="Cambria" w:hAnsi="Cambria"/>
          <w:b/>
          <w:color w:val="990000"/>
          <w:sz w:val="26"/>
          <w:szCs w:val="26"/>
        </w:rPr>
        <w:t>La valutazione dei Responsabili di struttura</w:t>
      </w:r>
      <w:bookmarkEnd w:id="11"/>
    </w:p>
    <w:p w14:paraId="3CD37EDE" w14:textId="77777777" w:rsidR="00FE6944" w:rsidRDefault="001B71AF">
      <w:pPr>
        <w:spacing w:before="80" w:after="0" w:line="240" w:lineRule="auto"/>
        <w:jc w:val="both"/>
        <w:rPr>
          <w:rFonts w:ascii="Cambria" w:hAnsi="Cambria"/>
          <w:color w:val="000000" w:themeColor="text1"/>
        </w:rPr>
      </w:pPr>
      <w:r>
        <w:rPr>
          <w:rFonts w:ascii="Cambria" w:hAnsi="Cambria"/>
        </w:rPr>
        <w:t>Per i Responsabili di struttura, al fine di apprezzare non solo la dimensione quantitativa del grado di realizzazione degli obiettivi affidati, ma anche la qualità d</w:t>
      </w:r>
      <w:r>
        <w:rPr>
          <w:rFonts w:ascii="Cambria" w:hAnsi="Cambria"/>
        </w:rPr>
        <w:t xml:space="preserve">egli apporti che l’hanno determinata, </w:t>
      </w:r>
      <w:r>
        <w:rPr>
          <w:rFonts w:ascii="Cambria" w:hAnsi="Cambria"/>
          <w:color w:val="000000" w:themeColor="text1"/>
        </w:rPr>
        <w:t>la sommatoria delle valutazioni dei fattori relativi al “</w:t>
      </w:r>
      <w:r>
        <w:rPr>
          <w:rFonts w:ascii="Cambria" w:hAnsi="Cambria"/>
          <w:i/>
          <w:color w:val="000000" w:themeColor="text1"/>
        </w:rPr>
        <w:t>sapere applicato</w:t>
      </w:r>
      <w:r>
        <w:rPr>
          <w:rFonts w:ascii="Cambria" w:hAnsi="Cambria"/>
          <w:color w:val="000000" w:themeColor="text1"/>
        </w:rPr>
        <w:t>”, alle “</w:t>
      </w:r>
      <w:r>
        <w:rPr>
          <w:rFonts w:ascii="Cambria" w:hAnsi="Cambria"/>
          <w:i/>
          <w:color w:val="000000" w:themeColor="text1"/>
        </w:rPr>
        <w:t xml:space="preserve">competenze relazionali” </w:t>
      </w:r>
      <w:r>
        <w:rPr>
          <w:rFonts w:ascii="Cambria" w:hAnsi="Cambria"/>
          <w:color w:val="000000" w:themeColor="text1"/>
        </w:rPr>
        <w:t>e alla “</w:t>
      </w:r>
      <w:r>
        <w:rPr>
          <w:rFonts w:ascii="Cambria" w:hAnsi="Cambria"/>
          <w:i/>
          <w:color w:val="000000" w:themeColor="text1"/>
        </w:rPr>
        <w:t>motivazione e valutazione dei collaboratori</w:t>
      </w:r>
      <w:r>
        <w:rPr>
          <w:rFonts w:ascii="Cambria" w:hAnsi="Cambria"/>
          <w:color w:val="000000" w:themeColor="text1"/>
        </w:rPr>
        <w:t xml:space="preserve">” </w:t>
      </w:r>
      <w:r>
        <w:rPr>
          <w:rFonts w:ascii="Cambria" w:hAnsi="Cambria"/>
          <w:color w:val="000000" w:themeColor="text1"/>
        </w:rPr>
        <w:t>(</w:t>
      </w:r>
      <w:r>
        <w:rPr>
          <w:rFonts w:ascii="Symbol" w:hAnsi="Symbol"/>
          <w:color w:val="000000" w:themeColor="text1"/>
        </w:rPr>
        <w:t></w:t>
      </w:r>
      <w:r>
        <w:rPr>
          <w:rFonts w:ascii="Cambria" w:hAnsi="Cambria"/>
          <w:color w:val="000000" w:themeColor="text1"/>
        </w:rPr>
        <w:t>/100)</w:t>
      </w:r>
      <w:r>
        <w:rPr>
          <w:rFonts w:ascii="Cambria" w:hAnsi="Cambria"/>
          <w:color w:val="000000" w:themeColor="text1"/>
        </w:rPr>
        <w:t>, pondera direttamente la valutazione riguardante il</w:t>
      </w:r>
      <w:r>
        <w:rPr>
          <w:rFonts w:ascii="Cambria" w:hAnsi="Cambria"/>
          <w:color w:val="000000" w:themeColor="text1"/>
        </w:rPr>
        <w:t xml:space="preserve"> fattore riferito alla “</w:t>
      </w:r>
      <w:r>
        <w:rPr>
          <w:rFonts w:ascii="Cambria" w:hAnsi="Cambria"/>
          <w:i/>
          <w:color w:val="000000" w:themeColor="text1"/>
        </w:rPr>
        <w:t>capacità realizzativa”</w:t>
      </w:r>
      <w:r>
        <w:rPr>
          <w:rFonts w:ascii="Cambria" w:hAnsi="Cambria"/>
          <w:color w:val="000000" w:themeColor="text1"/>
        </w:rPr>
        <w:t>, come da scheda allegata sub 2.</w:t>
      </w:r>
    </w:p>
    <w:p w14:paraId="18B6ED7B" w14:textId="77777777" w:rsidR="00FE6944" w:rsidRDefault="001B71AF">
      <w:pPr>
        <w:spacing w:before="80" w:after="0" w:line="240" w:lineRule="auto"/>
        <w:jc w:val="both"/>
        <w:rPr>
          <w:rFonts w:ascii="Cambria" w:hAnsi="Cambria"/>
          <w:color w:val="000000" w:themeColor="text1"/>
        </w:rPr>
      </w:pPr>
      <w:r>
        <w:rPr>
          <w:rFonts w:ascii="Cambria" w:hAnsi="Cambria"/>
          <w:color w:val="000000" w:themeColor="text1"/>
        </w:rPr>
        <w:t>Nel caso in cui i Responsabili di struttura non abbiano assegnato personale, il fattore “</w:t>
      </w:r>
      <w:r>
        <w:rPr>
          <w:rFonts w:ascii="Cambria" w:hAnsi="Cambria"/>
          <w:i/>
          <w:color w:val="000000" w:themeColor="text1"/>
        </w:rPr>
        <w:t xml:space="preserve">motivazione e valutazione dei collaboratori” </w:t>
      </w:r>
      <w:r>
        <w:rPr>
          <w:rFonts w:ascii="Cambria" w:hAnsi="Cambria"/>
          <w:color w:val="000000" w:themeColor="text1"/>
        </w:rPr>
        <w:t>viene azzerato e il relativo punteggio è re</w:t>
      </w:r>
      <w:r>
        <w:rPr>
          <w:rFonts w:ascii="Cambria" w:hAnsi="Cambria"/>
          <w:color w:val="000000" w:themeColor="text1"/>
        </w:rPr>
        <w:t>distribuito sui restanti fattori di cui alle lettere a) e b) del precedente punto 1.1, come indicato nella scheda allegata sub 2-bis.</w:t>
      </w:r>
    </w:p>
    <w:p w14:paraId="3CC15190" w14:textId="77777777" w:rsidR="00FE6944" w:rsidRDefault="00FE6944">
      <w:pPr>
        <w:spacing w:before="80" w:after="0" w:line="240" w:lineRule="auto"/>
        <w:jc w:val="both"/>
        <w:rPr>
          <w:rFonts w:ascii="Cambria" w:hAnsi="Cambria"/>
        </w:rPr>
      </w:pPr>
    </w:p>
    <w:p w14:paraId="5F62DEE5" w14:textId="77777777" w:rsidR="00FE6944" w:rsidRDefault="00FE6944">
      <w:pPr>
        <w:spacing w:after="60" w:line="288" w:lineRule="auto"/>
        <w:jc w:val="both"/>
        <w:rPr>
          <w:rFonts w:ascii="Cambria" w:hAnsi="Cambria"/>
          <w:i/>
          <w:color w:val="1F4E79" w:themeColor="accent1" w:themeShade="80"/>
          <w:sz w:val="26"/>
          <w:szCs w:val="26"/>
        </w:rPr>
      </w:pPr>
    </w:p>
    <w:p w14:paraId="6F0DF25F" w14:textId="77777777" w:rsidR="00FE6944" w:rsidRDefault="00FE6944">
      <w:pPr>
        <w:spacing w:after="60" w:line="288" w:lineRule="auto"/>
        <w:jc w:val="both"/>
        <w:rPr>
          <w:rFonts w:ascii="Cambria" w:hAnsi="Cambria"/>
          <w:i/>
          <w:color w:val="1F4E79" w:themeColor="accent1" w:themeShade="80"/>
          <w:sz w:val="26"/>
          <w:szCs w:val="26"/>
        </w:rPr>
      </w:pPr>
    </w:p>
    <w:p w14:paraId="05181808" w14:textId="77777777" w:rsidR="00FE6944" w:rsidRDefault="001B71AF">
      <w:pPr>
        <w:spacing w:after="0" w:line="240" w:lineRule="auto"/>
        <w:jc w:val="both"/>
        <w:rPr>
          <w:rFonts w:ascii="Cambria" w:hAnsi="Cambria"/>
        </w:rPr>
      </w:pPr>
      <w:r>
        <w:t>Per la valutazione del Segretario Comunale si rinvia ad apposita disciplina approvata dal Comune Capo convenzione in co</w:t>
      </w:r>
      <w:r>
        <w:t>mune accordo con i comuni convenzionati.</w:t>
      </w:r>
    </w:p>
    <w:p w14:paraId="085EA594" w14:textId="77777777" w:rsidR="00FE6944" w:rsidRDefault="001B71AF">
      <w:pPr>
        <w:spacing w:before="80" w:after="0" w:line="240" w:lineRule="auto"/>
        <w:jc w:val="both"/>
        <w:rPr>
          <w:rFonts w:ascii="Cambria" w:hAnsi="Cambria"/>
        </w:rPr>
      </w:pPr>
      <w:r>
        <w:rPr>
          <w:rFonts w:ascii="Cambria" w:hAnsi="Cambria"/>
        </w:rPr>
        <w:t>Gli esiti della valutazione sono consegnati all’interessato.</w:t>
      </w:r>
    </w:p>
    <w:p w14:paraId="3202DADC" w14:textId="77777777" w:rsidR="00FE6944" w:rsidRDefault="00FE6944">
      <w:pPr>
        <w:spacing w:before="80" w:after="0" w:line="240" w:lineRule="auto"/>
        <w:jc w:val="both"/>
        <w:rPr>
          <w:rFonts w:ascii="Cambria" w:hAnsi="Cambria"/>
        </w:rPr>
      </w:pPr>
    </w:p>
    <w:p w14:paraId="3292F753" w14:textId="77777777" w:rsidR="00FE6944" w:rsidRDefault="001B71AF">
      <w:pPr>
        <w:pStyle w:val="Titolo1"/>
        <w:numPr>
          <w:ilvl w:val="0"/>
          <w:numId w:val="1"/>
        </w:numPr>
        <w:spacing w:before="0" w:line="240" w:lineRule="auto"/>
        <w:ind w:left="284" w:hanging="284"/>
        <w:jc w:val="both"/>
        <w:rPr>
          <w:rFonts w:ascii="Cambria" w:eastAsiaTheme="minorHAnsi" w:hAnsi="Cambria" w:cstheme="minorBidi"/>
          <w:b/>
          <w:color w:val="990000"/>
          <w:sz w:val="26"/>
          <w:szCs w:val="26"/>
        </w:rPr>
      </w:pPr>
      <w:bookmarkStart w:id="12" w:name="_Toc497578733"/>
      <w:r>
        <w:rPr>
          <w:rFonts w:ascii="Cambria" w:eastAsiaTheme="minorHAnsi" w:hAnsi="Cambria" w:cstheme="minorBidi"/>
          <w:b/>
          <w:color w:val="990000"/>
          <w:sz w:val="26"/>
          <w:szCs w:val="26"/>
        </w:rPr>
        <w:t>La valutazione dei dipendenti.</w:t>
      </w:r>
      <w:bookmarkEnd w:id="12"/>
    </w:p>
    <w:p w14:paraId="4B26F6FB" w14:textId="77777777" w:rsidR="00FE6944" w:rsidRDefault="001B71AF">
      <w:pPr>
        <w:spacing w:before="80" w:after="0" w:line="240" w:lineRule="auto"/>
        <w:jc w:val="both"/>
        <w:rPr>
          <w:rFonts w:ascii="Cambria" w:hAnsi="Cambria"/>
          <w:color w:val="000000" w:themeColor="text1"/>
        </w:rPr>
      </w:pPr>
      <w:r>
        <w:rPr>
          <w:rFonts w:ascii="Cambria" w:hAnsi="Cambria"/>
        </w:rPr>
        <w:t>Per i dipendenti, invece, i tre fattori di apprezzamento</w:t>
      </w:r>
      <w:r>
        <w:rPr>
          <w:rFonts w:ascii="Cambria" w:hAnsi="Cambria"/>
          <w:color w:val="000000" w:themeColor="text1"/>
        </w:rPr>
        <w:t>: “</w:t>
      </w:r>
      <w:r>
        <w:rPr>
          <w:rFonts w:ascii="Cambria" w:hAnsi="Cambria"/>
          <w:i/>
          <w:color w:val="000000" w:themeColor="text1"/>
        </w:rPr>
        <w:t>sapere applicato</w:t>
      </w:r>
      <w:r>
        <w:rPr>
          <w:rFonts w:ascii="Cambria" w:hAnsi="Cambria"/>
          <w:color w:val="000000" w:themeColor="text1"/>
        </w:rPr>
        <w:t>”, “</w:t>
      </w:r>
      <w:r>
        <w:rPr>
          <w:rFonts w:ascii="Cambria" w:hAnsi="Cambria"/>
          <w:i/>
          <w:color w:val="000000" w:themeColor="text1"/>
        </w:rPr>
        <w:t>competenze relazionali”</w:t>
      </w:r>
      <w:r>
        <w:rPr>
          <w:rFonts w:ascii="Cambria" w:hAnsi="Cambria"/>
          <w:color w:val="000000" w:themeColor="text1"/>
        </w:rPr>
        <w:t xml:space="preserve"> e “</w:t>
      </w:r>
      <w:r>
        <w:rPr>
          <w:rFonts w:ascii="Cambria" w:hAnsi="Cambria"/>
          <w:i/>
          <w:color w:val="000000" w:themeColor="text1"/>
        </w:rPr>
        <w:t xml:space="preserve">capacità </w:t>
      </w:r>
      <w:r>
        <w:rPr>
          <w:rFonts w:ascii="Cambria" w:hAnsi="Cambria"/>
          <w:i/>
          <w:color w:val="000000" w:themeColor="text1"/>
        </w:rPr>
        <w:t>realizzativa”</w:t>
      </w:r>
      <w:r>
        <w:rPr>
          <w:rFonts w:ascii="Cambria" w:hAnsi="Cambria"/>
          <w:color w:val="000000" w:themeColor="text1"/>
        </w:rPr>
        <w:t>, sono ciascuno oggetto di valutazione autonoma, seppure con un peso potenziato per quello riferito alla “</w:t>
      </w:r>
      <w:r>
        <w:rPr>
          <w:rFonts w:ascii="Cambria" w:hAnsi="Cambria"/>
          <w:i/>
          <w:color w:val="000000" w:themeColor="text1"/>
        </w:rPr>
        <w:t>capacità realizzativa”</w:t>
      </w:r>
      <w:r>
        <w:rPr>
          <w:rFonts w:ascii="Cambria" w:hAnsi="Cambria"/>
          <w:color w:val="000000" w:themeColor="text1"/>
        </w:rPr>
        <w:t>, come evidenziato dalla seguente scheda allegata sub 3.</w:t>
      </w:r>
    </w:p>
    <w:p w14:paraId="30DDCE21" w14:textId="77777777" w:rsidR="00FE6944" w:rsidRDefault="001B71AF">
      <w:pPr>
        <w:spacing w:before="80" w:after="0" w:line="240" w:lineRule="auto"/>
        <w:jc w:val="both"/>
        <w:rPr>
          <w:rFonts w:ascii="Cambria" w:hAnsi="Cambria"/>
        </w:rPr>
      </w:pPr>
      <w:r>
        <w:rPr>
          <w:rFonts w:ascii="Cambria" w:hAnsi="Cambria"/>
        </w:rPr>
        <w:t>Gli esiti della valutazione sono consegnati all’interessat</w:t>
      </w:r>
      <w:r>
        <w:rPr>
          <w:rFonts w:ascii="Cambria" w:hAnsi="Cambria"/>
        </w:rPr>
        <w:t xml:space="preserve">o.  </w:t>
      </w:r>
    </w:p>
    <w:p w14:paraId="4839A4C0" w14:textId="77777777" w:rsidR="00FE6944" w:rsidRDefault="00FE6944">
      <w:pPr>
        <w:spacing w:after="0" w:line="240" w:lineRule="auto"/>
        <w:jc w:val="both"/>
        <w:rPr>
          <w:rFonts w:ascii="Cambria" w:hAnsi="Cambria"/>
        </w:rPr>
      </w:pPr>
    </w:p>
    <w:p w14:paraId="66722EA4" w14:textId="77777777" w:rsidR="00FE6944" w:rsidRDefault="001B71AF">
      <w:pPr>
        <w:pStyle w:val="Titolo1"/>
        <w:numPr>
          <w:ilvl w:val="0"/>
          <w:numId w:val="1"/>
        </w:numPr>
        <w:spacing w:before="0" w:line="240" w:lineRule="auto"/>
        <w:ind w:left="284" w:hanging="284"/>
        <w:jc w:val="both"/>
        <w:rPr>
          <w:rFonts w:ascii="Cambria" w:eastAsiaTheme="minorHAnsi" w:hAnsi="Cambria" w:cstheme="minorBidi"/>
          <w:b/>
          <w:color w:val="990000"/>
          <w:sz w:val="26"/>
          <w:szCs w:val="26"/>
        </w:rPr>
      </w:pPr>
      <w:bookmarkStart w:id="13" w:name="_Toc497578734"/>
      <w:r>
        <w:rPr>
          <w:rFonts w:ascii="Cambria" w:eastAsiaTheme="minorHAnsi" w:hAnsi="Cambria" w:cstheme="minorBidi"/>
          <w:b/>
          <w:color w:val="990000"/>
          <w:sz w:val="26"/>
          <w:szCs w:val="26"/>
        </w:rPr>
        <w:t>Il raccordo tra valutazione e compensi.</w:t>
      </w:r>
      <w:bookmarkEnd w:id="13"/>
    </w:p>
    <w:p w14:paraId="45744210" w14:textId="77777777" w:rsidR="00FE6944" w:rsidRDefault="001B71AF">
      <w:pPr>
        <w:spacing w:before="80" w:after="0" w:line="240" w:lineRule="auto"/>
        <w:jc w:val="both"/>
        <w:rPr>
          <w:rFonts w:ascii="Cambria" w:hAnsi="Cambria"/>
        </w:rPr>
      </w:pPr>
      <w:r>
        <w:rPr>
          <w:rFonts w:ascii="Cambria" w:hAnsi="Cambria"/>
        </w:rPr>
        <w:t xml:space="preserve">Fatte salve le competenze della contrattazione collettiva integrativa, si stabiliscono i seguenti criteri generali riguardanti il raccordo tra la valutazione ottenuta e compensi riconosciuti alle figure cui si </w:t>
      </w:r>
      <w:r>
        <w:rPr>
          <w:rFonts w:ascii="Cambria" w:hAnsi="Cambria"/>
        </w:rPr>
        <w:t xml:space="preserve">applica la presente metodologia. Essi, nei limiti di quanto previsto dal  CCNL vigente,  possono essere completati dal contratto integrativo.  </w:t>
      </w:r>
    </w:p>
    <w:p w14:paraId="18173CA7" w14:textId="77777777" w:rsidR="00FE6944" w:rsidRDefault="001B71AF">
      <w:pPr>
        <w:spacing w:before="80" w:after="0" w:line="240" w:lineRule="auto"/>
        <w:jc w:val="both"/>
        <w:rPr>
          <w:rFonts w:ascii="Cambria" w:hAnsi="Cambria"/>
        </w:rPr>
      </w:pPr>
      <w:r>
        <w:rPr>
          <w:rFonts w:ascii="Cambria" w:hAnsi="Cambria"/>
        </w:rPr>
        <w:t xml:space="preserve">La tabella di raccordo tra valutazione e compensi è la seguente con la precisazione che nel caso in cui vengano </w:t>
      </w:r>
      <w:r>
        <w:rPr>
          <w:rFonts w:ascii="Cambria" w:hAnsi="Cambria"/>
        </w:rPr>
        <w:t xml:space="preserve">assegnati più obiettivi ad uno stesso dipendente o responsabile la valutazione finale sarà data dalla media delle percentuali di risultato raggiunto nei singoli obiettivi. </w:t>
      </w:r>
    </w:p>
    <w:p w14:paraId="4E7E882B" w14:textId="77777777" w:rsidR="00FE6944" w:rsidRDefault="00FE6944">
      <w:pPr>
        <w:spacing w:before="80" w:after="0" w:line="240" w:lineRule="auto"/>
        <w:jc w:val="both"/>
        <w:rPr>
          <w:rFonts w:ascii="Cambria" w:hAnsi="Cambria"/>
          <w:sz w:val="16"/>
          <w:szCs w:val="16"/>
        </w:rPr>
      </w:pPr>
    </w:p>
    <w:tbl>
      <w:tblPr>
        <w:tblW w:w="8058" w:type="dxa"/>
        <w:jc w:val="center"/>
        <w:tblLook w:val="0000" w:firstRow="0" w:lastRow="0" w:firstColumn="0" w:lastColumn="0" w:noHBand="0" w:noVBand="0"/>
      </w:tblPr>
      <w:tblGrid>
        <w:gridCol w:w="4030"/>
        <w:gridCol w:w="4028"/>
      </w:tblGrid>
      <w:tr w:rsidR="00FE6944" w14:paraId="5CFE37CC" w14:textId="77777777">
        <w:trPr>
          <w:cantSplit/>
          <w:tblHeader/>
          <w:jc w:val="center"/>
        </w:trPr>
        <w:tc>
          <w:tcPr>
            <w:tcW w:w="4029" w:type="dxa"/>
            <w:tcBorders>
              <w:top w:val="single" w:sz="2" w:space="0" w:color="FF0000"/>
              <w:left w:val="single" w:sz="2" w:space="0" w:color="FF0000"/>
              <w:bottom w:val="inset" w:sz="6" w:space="0" w:color="000000"/>
              <w:right w:val="inset" w:sz="6" w:space="0" w:color="000000"/>
            </w:tcBorders>
            <w:shd w:val="clear" w:color="auto" w:fill="F2F2F2"/>
            <w:vAlign w:val="center"/>
          </w:tcPr>
          <w:p w14:paraId="673AA79F" w14:textId="77777777" w:rsidR="00FE6944" w:rsidRDefault="001B71AF">
            <w:pPr>
              <w:spacing w:after="0" w:line="240" w:lineRule="auto"/>
              <w:jc w:val="center"/>
              <w:rPr>
                <w:rFonts w:ascii="Cambria" w:eastAsia="Times New Roman" w:hAnsi="Cambria" w:cs="Verdana"/>
                <w:b/>
                <w:bCs/>
                <w:color w:val="000000"/>
              </w:rPr>
            </w:pPr>
            <w:r>
              <w:rPr>
                <w:rFonts w:ascii="Cambria" w:eastAsia="Times New Roman" w:hAnsi="Cambria" w:cs="Verdana"/>
                <w:b/>
                <w:bCs/>
                <w:color w:val="000000"/>
              </w:rPr>
              <w:t>Valutazione ottenuta</w:t>
            </w:r>
          </w:p>
        </w:tc>
        <w:tc>
          <w:tcPr>
            <w:tcW w:w="4028" w:type="dxa"/>
            <w:tcBorders>
              <w:top w:val="single" w:sz="2" w:space="0" w:color="FF0000"/>
              <w:left w:val="single" w:sz="2" w:space="0" w:color="FF0000"/>
              <w:bottom w:val="inset" w:sz="6" w:space="0" w:color="000000"/>
              <w:right w:val="inset" w:sz="6" w:space="0" w:color="000000"/>
            </w:tcBorders>
            <w:shd w:val="clear" w:color="auto" w:fill="F2F2F2"/>
          </w:tcPr>
          <w:p w14:paraId="503D5BF9" w14:textId="77777777" w:rsidR="00FE6944" w:rsidRDefault="001B71AF">
            <w:pPr>
              <w:spacing w:after="0" w:line="240" w:lineRule="auto"/>
              <w:jc w:val="center"/>
              <w:rPr>
                <w:rFonts w:ascii="Cambria" w:eastAsia="Times New Roman" w:hAnsi="Cambria" w:cs="Verdana"/>
                <w:b/>
                <w:bCs/>
                <w:color w:val="000000"/>
              </w:rPr>
            </w:pPr>
            <w:r>
              <w:rPr>
                <w:rFonts w:ascii="Cambria" w:eastAsia="Times New Roman" w:hAnsi="Cambria" w:cs="Verdana"/>
                <w:b/>
                <w:bCs/>
                <w:color w:val="000000"/>
              </w:rPr>
              <w:t>% Compenso riconosciuto</w:t>
            </w:r>
          </w:p>
        </w:tc>
      </w:tr>
      <w:tr w:rsidR="00FE6944" w14:paraId="4B957607" w14:textId="77777777">
        <w:trPr>
          <w:cantSplit/>
          <w:jc w:val="center"/>
        </w:trPr>
        <w:tc>
          <w:tcPr>
            <w:tcW w:w="4029" w:type="dxa"/>
            <w:tcBorders>
              <w:top w:val="inset" w:sz="6" w:space="0" w:color="000000"/>
              <w:left w:val="single" w:sz="2" w:space="0" w:color="FF0000"/>
              <w:bottom w:val="inset" w:sz="6" w:space="0" w:color="000000"/>
              <w:right w:val="inset" w:sz="6" w:space="0" w:color="000000"/>
            </w:tcBorders>
            <w:shd w:val="clear" w:color="auto" w:fill="FFFFFF"/>
            <w:vAlign w:val="center"/>
          </w:tcPr>
          <w:p w14:paraId="1FAF6CDF" w14:textId="77777777" w:rsidR="00FE6944" w:rsidRDefault="001B71AF">
            <w:pPr>
              <w:spacing w:after="0" w:line="240" w:lineRule="auto"/>
              <w:jc w:val="center"/>
              <w:rPr>
                <w:rFonts w:ascii="Cambria" w:eastAsia="Times New Roman" w:hAnsi="Cambria" w:cs="Verdana"/>
                <w:color w:val="000000"/>
              </w:rPr>
            </w:pPr>
            <w:r>
              <w:rPr>
                <w:rFonts w:ascii="Cambria" w:eastAsia="Times New Roman" w:hAnsi="Cambria" w:cs="Verdana"/>
                <w:color w:val="000000"/>
              </w:rPr>
              <w:t>Superiore a 90</w:t>
            </w:r>
          </w:p>
        </w:tc>
        <w:tc>
          <w:tcPr>
            <w:tcW w:w="4028" w:type="dxa"/>
            <w:tcBorders>
              <w:top w:val="inset" w:sz="6" w:space="0" w:color="000000"/>
              <w:left w:val="single" w:sz="2" w:space="0" w:color="FF0000"/>
              <w:bottom w:val="inset" w:sz="6" w:space="0" w:color="000000"/>
              <w:right w:val="single" w:sz="2" w:space="0" w:color="FF0000"/>
            </w:tcBorders>
            <w:shd w:val="clear" w:color="auto" w:fill="FFFFFF"/>
            <w:vAlign w:val="center"/>
          </w:tcPr>
          <w:p w14:paraId="27F05FBC" w14:textId="77777777" w:rsidR="00FE6944" w:rsidRDefault="001B71AF">
            <w:pPr>
              <w:spacing w:after="0" w:line="240" w:lineRule="auto"/>
              <w:jc w:val="center"/>
              <w:rPr>
                <w:rFonts w:ascii="Cambria" w:eastAsia="Times New Roman" w:hAnsi="Cambria" w:cs="Verdana"/>
                <w:color w:val="000000"/>
              </w:rPr>
            </w:pPr>
            <w:r>
              <w:rPr>
                <w:rFonts w:ascii="Cambria" w:eastAsia="Times New Roman" w:hAnsi="Cambria" w:cs="Verdana"/>
                <w:color w:val="000000"/>
              </w:rPr>
              <w:t xml:space="preserve">100% </w:t>
            </w:r>
          </w:p>
        </w:tc>
      </w:tr>
      <w:tr w:rsidR="00FE6944" w14:paraId="06115D95" w14:textId="77777777">
        <w:trPr>
          <w:cantSplit/>
          <w:jc w:val="center"/>
        </w:trPr>
        <w:tc>
          <w:tcPr>
            <w:tcW w:w="4029" w:type="dxa"/>
            <w:tcBorders>
              <w:top w:val="inset" w:sz="6" w:space="0" w:color="000000"/>
              <w:left w:val="single" w:sz="2" w:space="0" w:color="FF0000"/>
              <w:bottom w:val="inset" w:sz="6" w:space="0" w:color="000000"/>
              <w:right w:val="inset" w:sz="6" w:space="0" w:color="000000"/>
            </w:tcBorders>
            <w:shd w:val="clear" w:color="auto" w:fill="FFFFFF"/>
            <w:vAlign w:val="center"/>
          </w:tcPr>
          <w:p w14:paraId="3FDDD65D" w14:textId="77777777" w:rsidR="00FE6944" w:rsidRDefault="001B71AF">
            <w:pPr>
              <w:spacing w:after="0" w:line="240" w:lineRule="auto"/>
              <w:jc w:val="center"/>
              <w:rPr>
                <w:rFonts w:ascii="Cambria" w:eastAsia="Times New Roman" w:hAnsi="Cambria" w:cs="Verdana"/>
                <w:color w:val="000000"/>
              </w:rPr>
            </w:pPr>
            <w:r>
              <w:rPr>
                <w:rFonts w:ascii="Cambria" w:eastAsia="Times New Roman" w:hAnsi="Cambria" w:cs="Verdana"/>
                <w:color w:val="000000"/>
              </w:rPr>
              <w:t>Superiore a 80 e fino a 90</w:t>
            </w:r>
          </w:p>
        </w:tc>
        <w:tc>
          <w:tcPr>
            <w:tcW w:w="4028" w:type="dxa"/>
            <w:tcBorders>
              <w:top w:val="inset" w:sz="6" w:space="0" w:color="000000"/>
              <w:left w:val="single" w:sz="2" w:space="0" w:color="FF0000"/>
              <w:bottom w:val="inset" w:sz="6" w:space="0" w:color="000000"/>
              <w:right w:val="single" w:sz="2" w:space="0" w:color="FF0000"/>
            </w:tcBorders>
            <w:shd w:val="clear" w:color="auto" w:fill="FFFFFF"/>
            <w:vAlign w:val="center"/>
          </w:tcPr>
          <w:p w14:paraId="3C75963C" w14:textId="77777777" w:rsidR="00FE6944" w:rsidRDefault="001B71AF">
            <w:pPr>
              <w:spacing w:after="0" w:line="240" w:lineRule="auto"/>
              <w:jc w:val="center"/>
              <w:rPr>
                <w:rFonts w:ascii="Cambria" w:eastAsia="Times New Roman" w:hAnsi="Cambria" w:cs="Verdana"/>
                <w:color w:val="000000"/>
              </w:rPr>
            </w:pPr>
            <w:r>
              <w:rPr>
                <w:rFonts w:ascii="Cambria" w:eastAsia="Times New Roman" w:hAnsi="Cambria" w:cs="Verdana"/>
                <w:color w:val="000000"/>
              </w:rPr>
              <w:t>90%</w:t>
            </w:r>
          </w:p>
        </w:tc>
      </w:tr>
      <w:tr w:rsidR="00FE6944" w14:paraId="165D7548" w14:textId="77777777">
        <w:trPr>
          <w:cantSplit/>
          <w:jc w:val="center"/>
        </w:trPr>
        <w:tc>
          <w:tcPr>
            <w:tcW w:w="4029" w:type="dxa"/>
            <w:tcBorders>
              <w:top w:val="inset" w:sz="6" w:space="0" w:color="000000"/>
              <w:left w:val="single" w:sz="2" w:space="0" w:color="FF0000"/>
              <w:bottom w:val="inset" w:sz="6" w:space="0" w:color="000000"/>
              <w:right w:val="inset" w:sz="6" w:space="0" w:color="000000"/>
            </w:tcBorders>
            <w:shd w:val="clear" w:color="auto" w:fill="FFFFFF"/>
            <w:vAlign w:val="center"/>
          </w:tcPr>
          <w:p w14:paraId="633FD22D" w14:textId="77777777" w:rsidR="00FE6944" w:rsidRDefault="001B71AF">
            <w:pPr>
              <w:spacing w:after="0" w:line="240" w:lineRule="auto"/>
              <w:jc w:val="center"/>
              <w:rPr>
                <w:rFonts w:ascii="Cambria" w:eastAsia="Times New Roman" w:hAnsi="Cambria" w:cs="Verdana"/>
                <w:color w:val="000000"/>
              </w:rPr>
            </w:pPr>
            <w:r>
              <w:rPr>
                <w:rFonts w:ascii="Cambria" w:eastAsia="Times New Roman" w:hAnsi="Cambria" w:cs="Verdana"/>
                <w:color w:val="000000"/>
              </w:rPr>
              <w:t xml:space="preserve">Superiore a 70 e fino a 80 </w:t>
            </w:r>
          </w:p>
        </w:tc>
        <w:tc>
          <w:tcPr>
            <w:tcW w:w="4028" w:type="dxa"/>
            <w:tcBorders>
              <w:top w:val="inset" w:sz="6" w:space="0" w:color="000000"/>
              <w:left w:val="single" w:sz="2" w:space="0" w:color="FF0000"/>
              <w:bottom w:val="inset" w:sz="6" w:space="0" w:color="000000"/>
              <w:right w:val="single" w:sz="2" w:space="0" w:color="FF0000"/>
            </w:tcBorders>
            <w:shd w:val="clear" w:color="auto" w:fill="FFFFFF"/>
            <w:vAlign w:val="center"/>
          </w:tcPr>
          <w:p w14:paraId="226EF944" w14:textId="77777777" w:rsidR="00FE6944" w:rsidRDefault="001B71AF">
            <w:pPr>
              <w:spacing w:after="0" w:line="240" w:lineRule="auto"/>
              <w:jc w:val="center"/>
              <w:rPr>
                <w:rFonts w:ascii="Cambria" w:eastAsia="Times New Roman" w:hAnsi="Cambria" w:cs="Verdana"/>
                <w:color w:val="000000"/>
              </w:rPr>
            </w:pPr>
            <w:r>
              <w:rPr>
                <w:rFonts w:ascii="Cambria" w:eastAsia="Times New Roman" w:hAnsi="Cambria" w:cs="Verdana"/>
                <w:color w:val="000000"/>
              </w:rPr>
              <w:t>80%</w:t>
            </w:r>
          </w:p>
        </w:tc>
      </w:tr>
      <w:tr w:rsidR="00FE6944" w14:paraId="315F658A" w14:textId="77777777">
        <w:trPr>
          <w:cantSplit/>
          <w:jc w:val="center"/>
        </w:trPr>
        <w:tc>
          <w:tcPr>
            <w:tcW w:w="4029" w:type="dxa"/>
            <w:tcBorders>
              <w:top w:val="inset" w:sz="6" w:space="0" w:color="000000"/>
              <w:left w:val="single" w:sz="2" w:space="0" w:color="FF0000"/>
              <w:bottom w:val="inset" w:sz="6" w:space="0" w:color="000000"/>
              <w:right w:val="inset" w:sz="6" w:space="0" w:color="000000"/>
            </w:tcBorders>
            <w:shd w:val="clear" w:color="auto" w:fill="FFFFFF"/>
            <w:vAlign w:val="center"/>
          </w:tcPr>
          <w:p w14:paraId="1A68FAE3" w14:textId="77777777" w:rsidR="00FE6944" w:rsidRDefault="001B71AF">
            <w:pPr>
              <w:spacing w:after="0" w:line="240" w:lineRule="auto"/>
              <w:jc w:val="center"/>
              <w:rPr>
                <w:rFonts w:ascii="Cambria" w:eastAsia="Times New Roman" w:hAnsi="Cambria" w:cs="Verdana"/>
                <w:color w:val="000000"/>
              </w:rPr>
            </w:pPr>
            <w:r>
              <w:rPr>
                <w:rFonts w:ascii="Cambria" w:eastAsia="Times New Roman" w:hAnsi="Cambria" w:cs="Verdana"/>
                <w:color w:val="000000"/>
              </w:rPr>
              <w:t>Superiore a 60 e fino a 70</w:t>
            </w:r>
          </w:p>
        </w:tc>
        <w:tc>
          <w:tcPr>
            <w:tcW w:w="4028" w:type="dxa"/>
            <w:tcBorders>
              <w:top w:val="inset" w:sz="6" w:space="0" w:color="000000"/>
              <w:left w:val="single" w:sz="2" w:space="0" w:color="FF0000"/>
              <w:bottom w:val="inset" w:sz="6" w:space="0" w:color="000000"/>
              <w:right w:val="single" w:sz="2" w:space="0" w:color="FF0000"/>
            </w:tcBorders>
            <w:shd w:val="clear" w:color="auto" w:fill="FFFFFF"/>
            <w:vAlign w:val="center"/>
          </w:tcPr>
          <w:p w14:paraId="486DA4FD" w14:textId="77777777" w:rsidR="00FE6944" w:rsidRDefault="001B71AF">
            <w:pPr>
              <w:spacing w:after="0" w:line="240" w:lineRule="auto"/>
              <w:jc w:val="center"/>
              <w:rPr>
                <w:rFonts w:ascii="Cambria" w:eastAsia="Times New Roman" w:hAnsi="Cambria" w:cs="Verdana"/>
                <w:color w:val="000000"/>
              </w:rPr>
            </w:pPr>
            <w:r>
              <w:rPr>
                <w:rFonts w:ascii="Cambria" w:eastAsia="Times New Roman" w:hAnsi="Cambria" w:cs="Verdana"/>
                <w:color w:val="000000"/>
              </w:rPr>
              <w:t>65%</w:t>
            </w:r>
          </w:p>
        </w:tc>
      </w:tr>
      <w:tr w:rsidR="00FE6944" w14:paraId="7BB197A8" w14:textId="77777777">
        <w:trPr>
          <w:cantSplit/>
          <w:jc w:val="center"/>
        </w:trPr>
        <w:tc>
          <w:tcPr>
            <w:tcW w:w="4029" w:type="dxa"/>
            <w:tcBorders>
              <w:top w:val="inset" w:sz="6" w:space="0" w:color="000000"/>
              <w:left w:val="single" w:sz="2" w:space="0" w:color="FF0000"/>
              <w:bottom w:val="inset" w:sz="6" w:space="0" w:color="000000"/>
              <w:right w:val="inset" w:sz="6" w:space="0" w:color="000000"/>
            </w:tcBorders>
            <w:shd w:val="clear" w:color="auto" w:fill="FFFFFF"/>
            <w:vAlign w:val="center"/>
          </w:tcPr>
          <w:p w14:paraId="33C71AA0" w14:textId="77777777" w:rsidR="00FE6944" w:rsidRDefault="001B71AF">
            <w:pPr>
              <w:spacing w:after="0" w:line="240" w:lineRule="auto"/>
              <w:jc w:val="center"/>
              <w:rPr>
                <w:rFonts w:ascii="Cambria" w:eastAsia="Times New Roman" w:hAnsi="Cambria" w:cs="Verdana"/>
                <w:color w:val="000000"/>
              </w:rPr>
            </w:pPr>
            <w:r>
              <w:rPr>
                <w:rFonts w:ascii="Cambria" w:eastAsia="Times New Roman" w:hAnsi="Cambria" w:cs="Verdana"/>
                <w:color w:val="000000"/>
              </w:rPr>
              <w:t>Pari o superiore a 50 e fino a 60</w:t>
            </w:r>
          </w:p>
        </w:tc>
        <w:tc>
          <w:tcPr>
            <w:tcW w:w="4028" w:type="dxa"/>
            <w:tcBorders>
              <w:top w:val="inset" w:sz="6" w:space="0" w:color="000000"/>
              <w:left w:val="single" w:sz="2" w:space="0" w:color="FF0000"/>
              <w:bottom w:val="inset" w:sz="6" w:space="0" w:color="000000"/>
              <w:right w:val="single" w:sz="2" w:space="0" w:color="FF0000"/>
            </w:tcBorders>
            <w:shd w:val="clear" w:color="auto" w:fill="FFFFFF"/>
            <w:vAlign w:val="center"/>
          </w:tcPr>
          <w:p w14:paraId="78554E81" w14:textId="77777777" w:rsidR="00FE6944" w:rsidRDefault="001B71AF">
            <w:pPr>
              <w:spacing w:after="0" w:line="240" w:lineRule="auto"/>
              <w:jc w:val="center"/>
              <w:rPr>
                <w:rFonts w:ascii="Cambria" w:eastAsia="Times New Roman" w:hAnsi="Cambria" w:cs="Verdana"/>
                <w:color w:val="000000"/>
              </w:rPr>
            </w:pPr>
            <w:r>
              <w:rPr>
                <w:rFonts w:ascii="Cambria" w:eastAsia="Times New Roman" w:hAnsi="Cambria" w:cs="Verdana"/>
                <w:color w:val="000000"/>
              </w:rPr>
              <w:t>50%</w:t>
            </w:r>
          </w:p>
        </w:tc>
      </w:tr>
      <w:tr w:rsidR="00FE6944" w14:paraId="031B964A" w14:textId="77777777">
        <w:trPr>
          <w:cantSplit/>
          <w:jc w:val="center"/>
        </w:trPr>
        <w:tc>
          <w:tcPr>
            <w:tcW w:w="4029" w:type="dxa"/>
            <w:tcBorders>
              <w:top w:val="inset" w:sz="6" w:space="0" w:color="000000"/>
              <w:left w:val="single" w:sz="2" w:space="0" w:color="FF0000"/>
              <w:bottom w:val="inset" w:sz="6" w:space="0" w:color="000000"/>
              <w:right w:val="inset" w:sz="6" w:space="0" w:color="000000"/>
            </w:tcBorders>
            <w:shd w:val="clear" w:color="auto" w:fill="FFFFFF"/>
            <w:vAlign w:val="center"/>
          </w:tcPr>
          <w:p w14:paraId="6713FE57" w14:textId="77777777" w:rsidR="00FE6944" w:rsidRDefault="001B71AF">
            <w:pPr>
              <w:spacing w:after="0" w:line="240" w:lineRule="auto"/>
              <w:jc w:val="center"/>
              <w:rPr>
                <w:rFonts w:ascii="Cambria" w:eastAsia="Times New Roman" w:hAnsi="Cambria" w:cs="Verdana"/>
                <w:color w:val="000000"/>
              </w:rPr>
            </w:pPr>
            <w:r>
              <w:rPr>
                <w:rFonts w:ascii="Cambria" w:eastAsia="Times New Roman" w:hAnsi="Cambria" w:cs="Verdana"/>
                <w:color w:val="000000"/>
              </w:rPr>
              <w:t>Inferiore a 50</w:t>
            </w:r>
          </w:p>
        </w:tc>
        <w:tc>
          <w:tcPr>
            <w:tcW w:w="4028" w:type="dxa"/>
            <w:tcBorders>
              <w:top w:val="inset" w:sz="6" w:space="0" w:color="000000"/>
              <w:left w:val="single" w:sz="2" w:space="0" w:color="FF0000"/>
              <w:bottom w:val="inset" w:sz="6" w:space="0" w:color="000000"/>
              <w:right w:val="inset" w:sz="6" w:space="0" w:color="000000"/>
            </w:tcBorders>
            <w:shd w:val="clear" w:color="auto" w:fill="FFFFFF"/>
            <w:vAlign w:val="center"/>
          </w:tcPr>
          <w:p w14:paraId="0511489E" w14:textId="77777777" w:rsidR="00FE6944" w:rsidRDefault="001B71AF">
            <w:pPr>
              <w:spacing w:after="0" w:line="240" w:lineRule="auto"/>
              <w:jc w:val="center"/>
              <w:rPr>
                <w:rFonts w:ascii="Cambria" w:eastAsia="Times New Roman" w:hAnsi="Cambria" w:cs="Verdana"/>
                <w:color w:val="000000"/>
              </w:rPr>
            </w:pPr>
            <w:r>
              <w:rPr>
                <w:rFonts w:ascii="Cambria" w:eastAsia="Times New Roman" w:hAnsi="Cambria" w:cs="Verdana"/>
                <w:color w:val="000000"/>
              </w:rPr>
              <w:t>Nessun compenso</w:t>
            </w:r>
          </w:p>
        </w:tc>
      </w:tr>
    </w:tbl>
    <w:p w14:paraId="546153E6" w14:textId="77777777" w:rsidR="00FE6944" w:rsidRDefault="00FE6944">
      <w:pPr>
        <w:spacing w:after="0" w:line="240" w:lineRule="auto"/>
        <w:rPr>
          <w:rFonts w:ascii="Cambria" w:eastAsia="Times New Roman" w:hAnsi="Cambria"/>
          <w:sz w:val="16"/>
          <w:szCs w:val="16"/>
        </w:rPr>
      </w:pPr>
      <w:bookmarkStart w:id="14" w:name="_Toc279482652"/>
      <w:bookmarkStart w:id="15" w:name="_Toc279338309"/>
      <w:bookmarkEnd w:id="14"/>
      <w:bookmarkEnd w:id="15"/>
    </w:p>
    <w:p w14:paraId="34DC6F2E" w14:textId="77777777" w:rsidR="00FE6944" w:rsidRDefault="001B71AF">
      <w:pPr>
        <w:spacing w:after="0" w:line="240" w:lineRule="auto"/>
        <w:jc w:val="both"/>
        <w:rPr>
          <w:rFonts w:ascii="Cambria" w:hAnsi="Cambria"/>
          <w:color w:val="000000" w:themeColor="text1"/>
        </w:rPr>
      </w:pPr>
      <w:r>
        <w:rPr>
          <w:rFonts w:ascii="Cambria" w:hAnsi="Cambria"/>
          <w:color w:val="000000" w:themeColor="text1"/>
        </w:rPr>
        <w:t>Per i Responsabili di struttura, la tabella si applica al valore della retribuzione di risultato determinata dall’Ente, sulla base dei criteri generali definiti in sede di contrattazione integrativa. Nel caso in cui il peso medio degli obiettivi affidati r</w:t>
      </w:r>
      <w:r>
        <w:rPr>
          <w:rFonts w:ascii="Cambria" w:hAnsi="Cambria"/>
          <w:color w:val="000000" w:themeColor="text1"/>
        </w:rPr>
        <w:t>isultasse particolarmente differenziato, tra i responsabili di struttura, potrà predeterminarsi (e, quindi, in fase preliminare, all’inizio di ciascun anno), per ognuno di essi, una commisurata diversificazione del valore massimo della retribuzione di risu</w:t>
      </w:r>
      <w:r>
        <w:rPr>
          <w:rFonts w:ascii="Cambria" w:hAnsi="Cambria"/>
          <w:color w:val="000000" w:themeColor="text1"/>
        </w:rPr>
        <w:t xml:space="preserve">ltato attribuibile. </w:t>
      </w:r>
    </w:p>
    <w:p w14:paraId="07A21347" w14:textId="77777777" w:rsidR="00FE6944" w:rsidRDefault="001B71AF">
      <w:pPr>
        <w:spacing w:before="80" w:after="0" w:line="240" w:lineRule="auto"/>
        <w:jc w:val="both"/>
        <w:rPr>
          <w:rFonts w:ascii="Cambria" w:hAnsi="Cambria"/>
        </w:rPr>
      </w:pPr>
      <w:r>
        <w:rPr>
          <w:rFonts w:ascii="Cambria" w:hAnsi="Cambria"/>
        </w:rPr>
        <w:t>Per i dipendenti, la tabella si applica al valore dei compensi previsti, in base a quanto stabilito dal Contratto collettivo integrativo di lavoro.</w:t>
      </w:r>
    </w:p>
    <w:p w14:paraId="6FCA3CEB" w14:textId="77777777" w:rsidR="00FE6944" w:rsidRDefault="001B71AF">
      <w:pPr>
        <w:spacing w:before="80" w:after="0" w:line="240" w:lineRule="auto"/>
        <w:jc w:val="both"/>
        <w:rPr>
          <w:rFonts w:ascii="Cambria" w:hAnsi="Cambria"/>
          <w:color w:val="000000" w:themeColor="text1"/>
        </w:rPr>
      </w:pPr>
      <w:r>
        <w:rPr>
          <w:rFonts w:ascii="Cambria" w:hAnsi="Cambria"/>
          <w:color w:val="000000" w:themeColor="text1"/>
        </w:rPr>
        <w:t>Riguardo alle progressioni econ</w:t>
      </w:r>
      <w:r>
        <w:rPr>
          <w:rFonts w:ascii="Cambria" w:hAnsi="Cambria"/>
        </w:rPr>
        <w:t>omiche all’interno delle aree, la presente metodologia t</w:t>
      </w:r>
      <w:r>
        <w:rPr>
          <w:rFonts w:ascii="Cambria" w:hAnsi="Cambria"/>
        </w:rPr>
        <w:t>rova applicazione nel rispetto delle restanti condizioni dettate dal contratto nazionale e dal contratto integrativo e nei limiti del finanziamento previsto  da quest’ultimo.</w:t>
      </w:r>
    </w:p>
    <w:p w14:paraId="3C8FF111" w14:textId="77777777" w:rsidR="00FE6944" w:rsidRDefault="00FE6944">
      <w:pPr>
        <w:spacing w:after="60" w:line="240" w:lineRule="auto"/>
        <w:jc w:val="both"/>
        <w:rPr>
          <w:rFonts w:ascii="Cambria" w:hAnsi="Cambria"/>
          <w:color w:val="000000" w:themeColor="text1"/>
          <w:sz w:val="26"/>
          <w:szCs w:val="26"/>
        </w:rPr>
      </w:pPr>
    </w:p>
    <w:p w14:paraId="791FF004" w14:textId="77777777" w:rsidR="00FE6944" w:rsidRDefault="001B71AF">
      <w:pPr>
        <w:spacing w:after="60" w:line="240" w:lineRule="auto"/>
        <w:jc w:val="both"/>
        <w:rPr>
          <w:rFonts w:ascii="Cambria" w:hAnsi="Cambria"/>
          <w:color w:val="000000" w:themeColor="text1"/>
          <w:sz w:val="26"/>
          <w:szCs w:val="26"/>
        </w:rPr>
      </w:pPr>
      <w:r>
        <w:rPr>
          <w:rFonts w:ascii="Cambria" w:hAnsi="Cambria"/>
          <w:color w:val="000000"/>
        </w:rPr>
        <w:t xml:space="preserve">Come evidenziato dalla precedente tabella, una valutazione inferiore a punti 50 </w:t>
      </w:r>
      <w:r>
        <w:rPr>
          <w:rFonts w:ascii="Cambria" w:hAnsi="Cambria"/>
          <w:color w:val="000000"/>
        </w:rPr>
        <w:t xml:space="preserve">è considerata negativa. </w:t>
      </w:r>
    </w:p>
    <w:p w14:paraId="5947B74C" w14:textId="77777777" w:rsidR="00FE6944" w:rsidRDefault="001B71AF">
      <w:pPr>
        <w:spacing w:before="80" w:after="0" w:line="240" w:lineRule="auto"/>
        <w:jc w:val="both"/>
        <w:rPr>
          <w:rFonts w:ascii="Cambria" w:hAnsi="Cambria"/>
          <w:color w:val="000000" w:themeColor="text1"/>
        </w:rPr>
      </w:pPr>
      <w:r>
        <w:rPr>
          <w:rFonts w:ascii="Cambria" w:hAnsi="Cambria"/>
          <w:color w:val="000000" w:themeColor="text1"/>
        </w:rPr>
        <w:t>In ogni caso, prima di procedere alla definitiva formalizzazione di una valutazione negativa come sopra definita, debbono essere acquisite, in contraddittorio, le valutazioni dell’interessato, anche assistito dalla organizzazione s</w:t>
      </w:r>
      <w:r>
        <w:rPr>
          <w:rFonts w:ascii="Cambria" w:hAnsi="Cambria"/>
          <w:color w:val="000000" w:themeColor="text1"/>
        </w:rPr>
        <w:t>indacale cui aderisce o conferisce mandato o da persona di sua fiducia.</w:t>
      </w:r>
    </w:p>
    <w:p w14:paraId="2F4FC38A" w14:textId="77777777" w:rsidR="00FE6944" w:rsidRDefault="00FE6944">
      <w:pPr>
        <w:spacing w:after="0" w:line="240" w:lineRule="auto"/>
        <w:jc w:val="both"/>
        <w:rPr>
          <w:rFonts w:ascii="Cambria" w:hAnsi="Cambria"/>
          <w:color w:val="000000" w:themeColor="text1"/>
        </w:rPr>
      </w:pPr>
    </w:p>
    <w:p w14:paraId="220D5250" w14:textId="77777777" w:rsidR="00FE6944" w:rsidRDefault="001B71AF">
      <w:pPr>
        <w:pStyle w:val="Titolo1"/>
        <w:numPr>
          <w:ilvl w:val="0"/>
          <w:numId w:val="1"/>
        </w:numPr>
        <w:spacing w:before="0" w:line="240" w:lineRule="auto"/>
        <w:ind w:left="284" w:hanging="284"/>
        <w:rPr>
          <w:rFonts w:ascii="Cambria" w:eastAsiaTheme="minorHAnsi" w:hAnsi="Cambria" w:cstheme="minorBidi"/>
          <w:b/>
          <w:color w:val="990000"/>
          <w:sz w:val="26"/>
          <w:szCs w:val="26"/>
        </w:rPr>
      </w:pPr>
      <w:bookmarkStart w:id="16" w:name="_Toc497578735"/>
      <w:r>
        <w:rPr>
          <w:rFonts w:ascii="Cambria" w:eastAsiaTheme="minorHAnsi" w:hAnsi="Cambria" w:cstheme="minorBidi"/>
          <w:b/>
          <w:color w:val="990000"/>
          <w:sz w:val="26"/>
          <w:szCs w:val="26"/>
        </w:rPr>
        <w:lastRenderedPageBreak/>
        <w:t>Le procedure di riesame delle valutazioni</w:t>
      </w:r>
      <w:bookmarkEnd w:id="16"/>
    </w:p>
    <w:p w14:paraId="741B7DFB" w14:textId="77777777" w:rsidR="00FE6944" w:rsidRDefault="001B71AF">
      <w:pPr>
        <w:spacing w:before="80" w:after="0" w:line="240" w:lineRule="auto"/>
        <w:jc w:val="both"/>
        <w:rPr>
          <w:rFonts w:ascii="Cambria" w:hAnsi="Cambria"/>
        </w:rPr>
      </w:pPr>
      <w:r>
        <w:rPr>
          <w:rFonts w:ascii="Cambria" w:hAnsi="Cambria"/>
        </w:rPr>
        <w:t xml:space="preserve">I soggetti competenti per la valutazione operano, sia nel corso della gestione che nella fase di concreta espressione del giudizio </w:t>
      </w:r>
      <w:r>
        <w:rPr>
          <w:rFonts w:ascii="Cambria" w:hAnsi="Cambria"/>
        </w:rPr>
        <w:t>finale, secondo modalità trasparenti e partecipative. Se, nonostante ciò, i soggetti valutati non condividessero gli esiti finali della valutazione, al fine di tentare di prevenire l’insorgenza di contenziosi formali, si stabilisce la seguente procedura di</w:t>
      </w:r>
      <w:r>
        <w:rPr>
          <w:rFonts w:ascii="Cambria" w:hAnsi="Cambria"/>
        </w:rPr>
        <w:t xml:space="preserve"> riesame delle valutazioni:</w:t>
      </w:r>
    </w:p>
    <w:p w14:paraId="5DBD0BDB" w14:textId="77777777" w:rsidR="00FE6944" w:rsidRDefault="001B71AF">
      <w:pPr>
        <w:pStyle w:val="Paragrafoelenco"/>
        <w:numPr>
          <w:ilvl w:val="0"/>
          <w:numId w:val="5"/>
        </w:numPr>
        <w:spacing w:after="0" w:line="240" w:lineRule="auto"/>
        <w:ind w:left="284" w:hanging="284"/>
        <w:jc w:val="both"/>
        <w:rPr>
          <w:rFonts w:ascii="Cambria" w:hAnsi="Cambria"/>
        </w:rPr>
      </w:pPr>
      <w:r>
        <w:rPr>
          <w:rFonts w:ascii="Cambria" w:hAnsi="Cambria"/>
        </w:rPr>
        <w:t>il valutato presenta motivata istanza di riesame entro dieci giorni dal ricevimento della scheda di valutazione al Nucleo di valutazione;</w:t>
      </w:r>
    </w:p>
    <w:p w14:paraId="387CAC32" w14:textId="77777777" w:rsidR="00FE6944" w:rsidRDefault="001B71AF">
      <w:pPr>
        <w:pStyle w:val="Paragrafoelenco"/>
        <w:numPr>
          <w:ilvl w:val="0"/>
          <w:numId w:val="5"/>
        </w:numPr>
        <w:spacing w:after="0" w:line="240" w:lineRule="auto"/>
        <w:ind w:left="284" w:hanging="284"/>
        <w:jc w:val="both"/>
        <w:rPr>
          <w:rFonts w:ascii="Cambria" w:hAnsi="Cambria"/>
        </w:rPr>
      </w:pPr>
      <w:r>
        <w:rPr>
          <w:rFonts w:ascii="Cambria" w:hAnsi="Cambria"/>
        </w:rPr>
        <w:t xml:space="preserve">i soggetti competenti, secondo i casi di cui sopra, valutano l’istanza, </w:t>
      </w:r>
      <w:r>
        <w:rPr>
          <w:rFonts w:ascii="Cambria" w:hAnsi="Cambria"/>
          <w:color w:val="000000" w:themeColor="text1"/>
        </w:rPr>
        <w:t xml:space="preserve">assumendo tutti gli elementi di conoscenza necessari, </w:t>
      </w:r>
      <w:r>
        <w:rPr>
          <w:rFonts w:ascii="Cambria" w:hAnsi="Cambria"/>
        </w:rPr>
        <w:t>anche prevedendo l’eventuale audizione del richiedente e, conseguentemente, assumono la decisione definitiva in ordine alla richie</w:t>
      </w:r>
      <w:r>
        <w:rPr>
          <w:rFonts w:ascii="Cambria" w:hAnsi="Cambria"/>
        </w:rPr>
        <w:t>sta di riesame, trasmettendola all’interessato.</w:t>
      </w:r>
    </w:p>
    <w:p w14:paraId="21E6D9A0" w14:textId="77777777" w:rsidR="00FE6944" w:rsidRDefault="001B71AF">
      <w:pPr>
        <w:spacing w:before="80" w:after="0" w:line="240" w:lineRule="auto"/>
        <w:jc w:val="both"/>
        <w:rPr>
          <w:rFonts w:ascii="Cambria" w:hAnsi="Cambria"/>
        </w:rPr>
      </w:pPr>
      <w:r>
        <w:rPr>
          <w:rFonts w:ascii="Cambria" w:hAnsi="Cambria"/>
        </w:rPr>
        <w:t xml:space="preserve">Tutte le comunicazioni di cui sopra debbono essere gestite con modalità tracciabili, anche impiegando, per ragioni di risparmio, semplicità e speditezza, la posta elettronica ordinaria.     </w:t>
      </w:r>
    </w:p>
    <w:p w14:paraId="30379256" w14:textId="77777777" w:rsidR="00FE6944" w:rsidRDefault="00FE6944">
      <w:pPr>
        <w:spacing w:after="0" w:line="240" w:lineRule="auto"/>
        <w:rPr>
          <w:rFonts w:ascii="Cambria" w:hAnsi="Cambria"/>
          <w:b/>
          <w:sz w:val="28"/>
          <w:szCs w:val="28"/>
        </w:rPr>
      </w:pPr>
    </w:p>
    <w:p w14:paraId="5EF5C475" w14:textId="77777777" w:rsidR="00FE6944" w:rsidRDefault="00FE6944">
      <w:pPr>
        <w:spacing w:after="0" w:line="240" w:lineRule="auto"/>
        <w:rPr>
          <w:rFonts w:ascii="Cambria" w:hAnsi="Cambria"/>
          <w:b/>
          <w:sz w:val="28"/>
          <w:szCs w:val="28"/>
        </w:rPr>
      </w:pPr>
    </w:p>
    <w:p w14:paraId="157EA6D4" w14:textId="77777777" w:rsidR="00FE6944" w:rsidRDefault="001B71AF">
      <w:pPr>
        <w:pStyle w:val="Titolo1"/>
        <w:spacing w:before="0" w:line="240" w:lineRule="auto"/>
        <w:rPr>
          <w:rFonts w:ascii="Cambria" w:eastAsiaTheme="minorHAnsi" w:hAnsi="Cambria" w:cstheme="minorBidi"/>
          <w:b/>
          <w:i/>
          <w:color w:val="990000"/>
          <w:sz w:val="28"/>
          <w:szCs w:val="28"/>
        </w:rPr>
      </w:pPr>
      <w:bookmarkStart w:id="17" w:name="_Toc497578736"/>
      <w:r>
        <w:rPr>
          <w:rFonts w:ascii="Cambria" w:eastAsiaTheme="minorHAnsi" w:hAnsi="Cambria" w:cstheme="minorBidi"/>
          <w:b/>
          <w:i/>
          <w:color w:val="990000"/>
          <w:sz w:val="28"/>
          <w:szCs w:val="28"/>
        </w:rPr>
        <w:t>Allegati</w:t>
      </w:r>
      <w:bookmarkEnd w:id="17"/>
    </w:p>
    <w:p w14:paraId="36D2E331" w14:textId="77777777" w:rsidR="00FE6944" w:rsidRDefault="001B71AF">
      <w:pPr>
        <w:spacing w:before="80" w:after="0" w:line="240" w:lineRule="auto"/>
        <w:rPr>
          <w:rFonts w:ascii="Cambria" w:hAnsi="Cambria"/>
          <w:b/>
        </w:rPr>
      </w:pPr>
      <w:r>
        <w:rPr>
          <w:rFonts w:ascii="Cambria" w:hAnsi="Cambria"/>
          <w:b/>
        </w:rPr>
        <w:t>Allega</w:t>
      </w:r>
      <w:r>
        <w:rPr>
          <w:rFonts w:ascii="Cambria" w:hAnsi="Cambria"/>
          <w:b/>
        </w:rPr>
        <w:t>to 1: Scheda descrizione obiettivi</w:t>
      </w:r>
    </w:p>
    <w:p w14:paraId="53628FEA" w14:textId="77777777" w:rsidR="00FE6944" w:rsidRDefault="001B71AF">
      <w:pPr>
        <w:spacing w:before="80" w:after="0" w:line="240" w:lineRule="auto"/>
        <w:rPr>
          <w:rFonts w:ascii="Cambria" w:hAnsi="Cambria"/>
          <w:b/>
        </w:rPr>
      </w:pPr>
      <w:r>
        <w:rPr>
          <w:rFonts w:ascii="Cambria" w:hAnsi="Cambria"/>
          <w:b/>
        </w:rPr>
        <w:t>Allegato 1-bis: Scheda rendicontazione obiettivi</w:t>
      </w:r>
    </w:p>
    <w:p w14:paraId="0737D7EE" w14:textId="77777777" w:rsidR="00FE6944" w:rsidRDefault="001B71AF">
      <w:pPr>
        <w:spacing w:before="80" w:after="0" w:line="240" w:lineRule="auto"/>
        <w:rPr>
          <w:rFonts w:ascii="Cambria" w:hAnsi="Cambria"/>
          <w:b/>
        </w:rPr>
      </w:pPr>
      <w:r>
        <w:rPr>
          <w:rFonts w:ascii="Cambria" w:hAnsi="Cambria"/>
          <w:b/>
        </w:rPr>
        <w:t>Allegato 2: Scheda di valutazione per i Responsabili di struttura</w:t>
      </w:r>
    </w:p>
    <w:p w14:paraId="046389B9" w14:textId="77777777" w:rsidR="00FE6944" w:rsidRDefault="001B71AF">
      <w:pPr>
        <w:spacing w:before="80" w:after="0" w:line="240" w:lineRule="auto"/>
        <w:rPr>
          <w:rFonts w:ascii="Cambria" w:hAnsi="Cambria"/>
          <w:b/>
        </w:rPr>
      </w:pPr>
      <w:r>
        <w:rPr>
          <w:rFonts w:ascii="Cambria" w:hAnsi="Cambria"/>
          <w:b/>
        </w:rPr>
        <w:t>Allegato 2-bis: Scheda di valutazione per i Responsabili  senza personale loro assegnato</w:t>
      </w:r>
    </w:p>
    <w:p w14:paraId="79A743E3" w14:textId="77777777" w:rsidR="00FE6944" w:rsidRDefault="001B71AF">
      <w:pPr>
        <w:spacing w:before="80" w:after="0" w:line="240" w:lineRule="auto"/>
        <w:rPr>
          <w:rFonts w:ascii="Cambria" w:hAnsi="Cambria"/>
          <w:b/>
        </w:rPr>
      </w:pPr>
      <w:r>
        <w:rPr>
          <w:rFonts w:ascii="Cambria" w:hAnsi="Cambria"/>
          <w:b/>
        </w:rPr>
        <w:t>Allegato 3: Sched</w:t>
      </w:r>
      <w:r>
        <w:rPr>
          <w:rFonts w:ascii="Cambria" w:hAnsi="Cambria"/>
          <w:b/>
        </w:rPr>
        <w:t xml:space="preserve">a di valutazione per i dipendenti </w:t>
      </w:r>
    </w:p>
    <w:p w14:paraId="20E458D2" w14:textId="77777777" w:rsidR="00FE6944" w:rsidRDefault="00FE6944">
      <w:pPr>
        <w:spacing w:after="0" w:line="240" w:lineRule="auto"/>
        <w:jc w:val="both"/>
        <w:rPr>
          <w:rFonts w:ascii="Cambria" w:hAnsi="Cambria"/>
          <w:color w:val="000000" w:themeColor="text1"/>
        </w:rPr>
      </w:pPr>
    </w:p>
    <w:sectPr w:rsidR="00FE6944">
      <w:headerReference w:type="default" r:id="rId9"/>
      <w:footerReference w:type="default" r:id="rId10"/>
      <w:pgSz w:w="11906" w:h="16838"/>
      <w:pgMar w:top="1134" w:right="1418" w:bottom="1418" w:left="1418" w:header="567" w:footer="624" w:gutter="0"/>
      <w:pgBorders w:offsetFrom="page">
        <w:top w:val="single" w:sz="2" w:space="24" w:color="C00000"/>
        <w:left w:val="single" w:sz="2" w:space="24" w:color="C00000"/>
        <w:bottom w:val="single" w:sz="2" w:space="24" w:color="C00000"/>
        <w:right w:val="single" w:sz="2" w:space="24" w:color="C00000"/>
      </w:pgBorders>
      <w:pgNumType w:start="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34F3E" w14:textId="77777777" w:rsidR="00000000" w:rsidRDefault="001B71AF">
      <w:pPr>
        <w:spacing w:after="0" w:line="240" w:lineRule="auto"/>
      </w:pPr>
      <w:r>
        <w:separator/>
      </w:r>
    </w:p>
  </w:endnote>
  <w:endnote w:type="continuationSeparator" w:id="0">
    <w:p w14:paraId="14368C83" w14:textId="77777777" w:rsidR="00000000" w:rsidRDefault="001B7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2AE7" w14:textId="77777777" w:rsidR="00FE6944" w:rsidRDefault="00FE6944">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6BA2" w14:textId="77777777" w:rsidR="00FE6944" w:rsidRDefault="00FE6944">
    <w:pPr>
      <w:pStyle w:val="Pidipagina"/>
    </w:pPr>
  </w:p>
  <w:p w14:paraId="13A1090F" w14:textId="77777777" w:rsidR="00FE6944" w:rsidRDefault="00FE6944">
    <w:pPr>
      <w:pStyle w:val="Pidipagina"/>
    </w:pPr>
  </w:p>
  <w:p w14:paraId="23E54ACF" w14:textId="77777777" w:rsidR="00FE6944" w:rsidRDefault="00FE6944">
    <w:pPr>
      <w:pStyle w:val="Pidipagina"/>
    </w:pPr>
  </w:p>
  <w:p w14:paraId="2E73B02E" w14:textId="77777777" w:rsidR="00FE6944" w:rsidRDefault="00FE694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045C8" w14:textId="77777777" w:rsidR="00000000" w:rsidRDefault="001B71AF">
      <w:pPr>
        <w:spacing w:after="0" w:line="240" w:lineRule="auto"/>
      </w:pPr>
      <w:r>
        <w:separator/>
      </w:r>
    </w:p>
  </w:footnote>
  <w:footnote w:type="continuationSeparator" w:id="0">
    <w:p w14:paraId="65242020" w14:textId="77777777" w:rsidR="00000000" w:rsidRDefault="001B7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DB04" w14:textId="77777777" w:rsidR="00FE6944" w:rsidRDefault="001B71AF">
    <w:pPr>
      <w:pStyle w:val="Intestazione"/>
    </w:pPr>
    <w:r>
      <w:rPr>
        <w:noProof/>
      </w:rPr>
      <mc:AlternateContent>
        <mc:Choice Requires="wps">
          <w:drawing>
            <wp:anchor distT="0" distB="0" distL="0" distR="0" simplePos="0" relativeHeight="7" behindDoc="1" locked="0" layoutInCell="1" allowOverlap="1" wp14:anchorId="5A6B532C" wp14:editId="6262A3D6">
              <wp:simplePos x="0" y="0"/>
              <wp:positionH relativeFrom="rightMargin">
                <wp:posOffset>176530</wp:posOffset>
              </wp:positionH>
              <wp:positionV relativeFrom="margin">
                <wp:posOffset>-335280</wp:posOffset>
              </wp:positionV>
              <wp:extent cx="535940" cy="377825"/>
              <wp:effectExtent l="0" t="0" r="635" b="6985"/>
              <wp:wrapNone/>
              <wp:docPr id="1" name="Forma 3_2"/>
              <wp:cNvGraphicFramePr/>
              <a:graphic xmlns:a="http://schemas.openxmlformats.org/drawingml/2006/main">
                <a:graphicData uri="http://schemas.microsoft.com/office/word/2010/wordprocessingShape">
                  <wps:wsp>
                    <wps:cNvSpPr/>
                    <wps:spPr>
                      <a:xfrm rot="10800000">
                        <a:off x="0" y="0"/>
                        <a:ext cx="535320" cy="377280"/>
                      </a:xfrm>
                      <a:prstGeom prst="rightArrow">
                        <a:avLst>
                          <a:gd name="adj1" fmla="val 50278"/>
                          <a:gd name="adj2" fmla="val 52482"/>
                        </a:avLst>
                      </a:prstGeom>
                      <a:solidFill>
                        <a:srgbClr val="C0504D"/>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shapetype id="shapetype_13" coordsize="21600,21600" o:spt="13" adj="10800,10800" path="m0@5l@3@5l@3,l21600,10800l@3,21600l@3@6l0@6xe">
              <v:stroke joinstyle="miter"/>
              <v:formulas>
                <v:f eqn="val 21600"/>
                <v:f eqn="val #1"/>
                <v:f eqn="val #0"/>
                <v:f eqn="sum width 0 @2"/>
                <v:f eqn="prod 1 @1 2"/>
                <v:f eqn="sum 10800 0 @4"/>
                <v:f eqn="sum 10800 @4 0"/>
                <v:f eqn="prod @5 @2 10800"/>
                <v:f eqn="sum @3 @7 0"/>
              </v:formulas>
              <v:path gradientshapeok="t" o:connecttype="rect" textboxrect="0,@5,@8,@6"/>
              <v:handles>
                <v:h position="0,@5"/>
                <v:h position="@3,0"/>
              </v:handles>
            </v:shapetype>
            <v:shape id="shape_0" ID="Forma 3_2" fillcolor="#c0504d" stroked="f" style="position:absolute;margin-left:13.9pt;margin-top:-26.4pt;width:42.1pt;height:29.65pt;rotation:180;mso-position-horizontal-relative:page;mso-position-vertical-relative:margin" wp14:anchorId="691499A1" type="shapetype_13">
              <w10:wrap type="none"/>
              <v:fill o:detectmouseclick="t" type="solid" color2="#3fafb2"/>
              <v:stroke color="#3465a4" joinstyle="round" endcap="flat"/>
            </v:shape>
          </w:pict>
        </mc:Fallback>
      </mc:AlternateContent>
    </w:r>
    <w:r>
      <w:rPr>
        <w:noProof/>
      </w:rPr>
      <mc:AlternateContent>
        <mc:Choice Requires="wps">
          <w:drawing>
            <wp:anchor distT="0" distB="0" distL="0" distR="0" simplePos="0" relativeHeight="13" behindDoc="1" locked="0" layoutInCell="1" allowOverlap="1" wp14:anchorId="7D34354F" wp14:editId="56EE1F78">
              <wp:simplePos x="0" y="0"/>
              <wp:positionH relativeFrom="rightMargin">
                <wp:posOffset>183515</wp:posOffset>
              </wp:positionH>
              <wp:positionV relativeFrom="margin">
                <wp:posOffset>-234950</wp:posOffset>
              </wp:positionV>
              <wp:extent cx="436880" cy="191770"/>
              <wp:effectExtent l="0" t="0" r="0" b="0"/>
              <wp:wrapNone/>
              <wp:docPr id="2" name="Immagine1"/>
              <wp:cNvGraphicFramePr/>
              <a:graphic xmlns:a="http://schemas.openxmlformats.org/drawingml/2006/main">
                <a:graphicData uri="http://schemas.microsoft.com/office/word/2010/wordprocessingShape">
                  <wps:wsp>
                    <wps:cNvSpPr/>
                    <wps:spPr>
                      <a:xfrm>
                        <a:off x="0" y="0"/>
                        <a:ext cx="436320" cy="191160"/>
                      </a:xfrm>
                      <a:prstGeom prst="rect">
                        <a:avLst/>
                      </a:prstGeom>
                      <a:noFill/>
                      <a:ln>
                        <a:noFill/>
                      </a:ln>
                    </wps:spPr>
                    <wps:style>
                      <a:lnRef idx="0">
                        <a:scrgbClr r="0" g="0" b="0"/>
                      </a:lnRef>
                      <a:fillRef idx="0">
                        <a:scrgbClr r="0" g="0" b="0"/>
                      </a:fillRef>
                      <a:effectRef idx="0">
                        <a:scrgbClr r="0" g="0" b="0"/>
                      </a:effectRef>
                      <a:fontRef idx="minor"/>
                    </wps:style>
                    <wps:txbx>
                      <w:txbxContent>
                        <w:sdt>
                          <w:sdtPr>
                            <w:id w:val="1083851025"/>
                            <w:docPartObj>
                              <w:docPartGallery w:val="Page Numbers (Margins)"/>
                              <w:docPartUnique/>
                            </w:docPartObj>
                          </w:sdtPr>
                          <w:sdtEndPr/>
                          <w:sdtContent>
                            <w:p w14:paraId="083A1D88" w14:textId="77777777" w:rsidR="00FE6944" w:rsidRDefault="001B71AF">
                              <w:pPr>
                                <w:pStyle w:val="Pidipagina"/>
                                <w:jc w:val="right"/>
                                <w:rPr>
                                  <w:color w:val="FFFFFF" w:themeColor="background1"/>
                                </w:rPr>
                              </w:pPr>
                              <w:r>
                                <w:rPr>
                                  <w:color w:val="FFFFFF"/>
                                </w:rPr>
                                <w:fldChar w:fldCharType="begin"/>
                              </w:r>
                              <w:r>
                                <w:rPr>
                                  <w:color w:val="FFFFFF"/>
                                </w:rPr>
                                <w:instrText>PAGE</w:instrText>
                              </w:r>
                              <w:r>
                                <w:rPr>
                                  <w:color w:val="FFFFFF"/>
                                </w:rPr>
                                <w:fldChar w:fldCharType="separate"/>
                              </w:r>
                              <w:r>
                                <w:rPr>
                                  <w:color w:val="FFFFFF"/>
                                </w:rPr>
                                <w:t>6</w:t>
                              </w:r>
                              <w:r>
                                <w:rPr>
                                  <w:color w:val="FFFFFF"/>
                                </w:rPr>
                                <w:fldChar w:fldCharType="end"/>
                              </w:r>
                            </w:p>
                            <w:p w14:paraId="388BA334" w14:textId="77777777" w:rsidR="00FE6944" w:rsidRDefault="001B71AF">
                              <w:pPr>
                                <w:pStyle w:val="Contenutocornice"/>
                              </w:pPr>
                            </w:p>
                          </w:sdtContent>
                        </w:sdt>
                      </w:txbxContent>
                    </wps:txbx>
                    <wps:bodyPr tIns="0" bIns="0">
                      <a:noAutofit/>
                    </wps:bodyPr>
                  </wps:wsp>
                </a:graphicData>
              </a:graphic>
            </wp:anchor>
          </w:drawing>
        </mc:Choice>
        <mc:Fallback>
          <w:pict>
            <v:rect w14:anchorId="7D34354F" id="Immagine1" o:spid="_x0000_s1026" style="position:absolute;margin-left:14.45pt;margin-top:-18.5pt;width:34.4pt;height:15.1pt;z-index:-503316467;visibility:visible;mso-wrap-style:square;mso-wrap-distance-left:0;mso-wrap-distance-top:0;mso-wrap-distance-right:0;mso-wrap-distance-bottom:0;mso-position-horizontal:absolute;mso-position-horizontal-relative:right-margin-area;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" filled="f" stroked="f">
              <v:textbox inset=",0,,0">
                <w:txbxContent>
                  <w:sdt>
                    <w:sdtPr>
                      <w:id w:val="1083851025"/>
                      <w:docPartObj>
                        <w:docPartGallery w:val="Page Numbers (Margins)"/>
                        <w:docPartUnique/>
                      </w:docPartObj>
                    </w:sdtPr>
                    <w:sdtEndPr/>
                    <w:sdtContent>
                      <w:p w14:paraId="083A1D88" w14:textId="77777777" w:rsidR="00FE6944" w:rsidRDefault="001B71AF">
                        <w:pPr>
                          <w:pStyle w:val="Pidipagina"/>
                          <w:jc w:val="right"/>
                          <w:rPr>
                            <w:color w:val="FFFFFF" w:themeColor="background1"/>
                          </w:rPr>
                        </w:pPr>
                        <w:r>
                          <w:rPr>
                            <w:color w:val="FFFFFF"/>
                          </w:rPr>
                          <w:fldChar w:fldCharType="begin"/>
                        </w:r>
                        <w:r>
                          <w:rPr>
                            <w:color w:val="FFFFFF"/>
                          </w:rPr>
                          <w:instrText>PAGE</w:instrText>
                        </w:r>
                        <w:r>
                          <w:rPr>
                            <w:color w:val="FFFFFF"/>
                          </w:rPr>
                          <w:fldChar w:fldCharType="separate"/>
                        </w:r>
                        <w:r>
                          <w:rPr>
                            <w:color w:val="FFFFFF"/>
                          </w:rPr>
                          <w:t>6</w:t>
                        </w:r>
                        <w:r>
                          <w:rPr>
                            <w:color w:val="FFFFFF"/>
                          </w:rPr>
                          <w:fldChar w:fldCharType="end"/>
                        </w:r>
                      </w:p>
                      <w:p w14:paraId="388BA334" w14:textId="77777777" w:rsidR="00FE6944" w:rsidRDefault="001B71AF">
                        <w:pPr>
                          <w:pStyle w:val="Contenutocornice"/>
                        </w:pPr>
                      </w:p>
                    </w:sdtContent>
                  </w:sdt>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61659"/>
    <w:multiLevelType w:val="multilevel"/>
    <w:tmpl w:val="0BECD00A"/>
    <w:lvl w:ilvl="0">
      <w:start w:val="1"/>
      <w:numFmt w:val="decimal"/>
      <w:lvlText w:val="%1."/>
      <w:lvlJc w:val="left"/>
      <w:pPr>
        <w:ind w:left="502" w:hanging="360"/>
      </w:pPr>
      <w:rPr>
        <w:b/>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 w15:restartNumberingAfterBreak="0">
    <w:nsid w:val="224D2078"/>
    <w:multiLevelType w:val="multilevel"/>
    <w:tmpl w:val="C9962D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305AEF"/>
    <w:multiLevelType w:val="multilevel"/>
    <w:tmpl w:val="BD225B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7BF7194"/>
    <w:multiLevelType w:val="multilevel"/>
    <w:tmpl w:val="14904C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58963709"/>
    <w:multiLevelType w:val="multilevel"/>
    <w:tmpl w:val="0B8090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01E0FC7"/>
    <w:multiLevelType w:val="multilevel"/>
    <w:tmpl w:val="E57087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01275765">
    <w:abstractNumId w:val="0"/>
  </w:num>
  <w:num w:numId="2" w16cid:durableId="1093352769">
    <w:abstractNumId w:val="4"/>
  </w:num>
  <w:num w:numId="3" w16cid:durableId="1395814180">
    <w:abstractNumId w:val="2"/>
  </w:num>
  <w:num w:numId="4" w16cid:durableId="603811014">
    <w:abstractNumId w:val="1"/>
  </w:num>
  <w:num w:numId="5" w16cid:durableId="2018074069">
    <w:abstractNumId w:val="5"/>
  </w:num>
  <w:num w:numId="6" w16cid:durableId="7766025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944"/>
    <w:rsid w:val="001B71AF"/>
    <w:rsid w:val="00FE694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1DD68"/>
  <w15:docId w15:val="{D9F2C80F-3F5F-4F49-BA00-07E02594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4E2E"/>
    <w:pPr>
      <w:spacing w:after="160" w:line="259" w:lineRule="auto"/>
    </w:pPr>
    <w:rPr>
      <w:sz w:val="22"/>
    </w:rPr>
  </w:style>
  <w:style w:type="paragraph" w:styleId="Titolo1">
    <w:name w:val="heading 1"/>
    <w:basedOn w:val="Normale"/>
    <w:next w:val="Normale"/>
    <w:link w:val="Titolo1Carattere"/>
    <w:uiPriority w:val="9"/>
    <w:qFormat/>
    <w:rsid w:val="004B5B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3468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4B5BB2"/>
    <w:rPr>
      <w:rFonts w:asciiTheme="majorHAnsi" w:eastAsiaTheme="majorEastAsia" w:hAnsiTheme="majorHAnsi" w:cstheme="majorBidi"/>
      <w:color w:val="2E74B5" w:themeColor="accent1" w:themeShade="BF"/>
      <w:sz w:val="32"/>
      <w:szCs w:val="32"/>
    </w:rPr>
  </w:style>
  <w:style w:type="character" w:customStyle="1" w:styleId="TestonotaapidipaginaCarattere">
    <w:name w:val="Testo nota a piè di pagina Carattere"/>
    <w:basedOn w:val="Carpredefinitoparagrafo"/>
    <w:link w:val="Testonotaapidipagina"/>
    <w:uiPriority w:val="99"/>
    <w:qFormat/>
    <w:rsid w:val="005D4FCE"/>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semiHidden/>
    <w:unhideWhenUsed/>
    <w:qFormat/>
    <w:rsid w:val="005D4FCE"/>
    <w:rPr>
      <w:vertAlign w:val="superscript"/>
    </w:rPr>
  </w:style>
  <w:style w:type="character" w:customStyle="1" w:styleId="IntestazioneCarattere">
    <w:name w:val="Intestazione Carattere"/>
    <w:basedOn w:val="Carpredefinitoparagrafo"/>
    <w:link w:val="Intestazione"/>
    <w:uiPriority w:val="99"/>
    <w:qFormat/>
    <w:rsid w:val="00C1075B"/>
  </w:style>
  <w:style w:type="character" w:customStyle="1" w:styleId="PidipaginaCarattere">
    <w:name w:val="Piè di pagina Carattere"/>
    <w:basedOn w:val="Carpredefinitoparagrafo"/>
    <w:link w:val="Pidipagina"/>
    <w:uiPriority w:val="99"/>
    <w:qFormat/>
    <w:rsid w:val="00C1075B"/>
  </w:style>
  <w:style w:type="character" w:customStyle="1" w:styleId="Titolo2Carattere">
    <w:name w:val="Titolo 2 Carattere"/>
    <w:basedOn w:val="Carpredefinitoparagrafo"/>
    <w:link w:val="Titolo2"/>
    <w:uiPriority w:val="9"/>
    <w:qFormat/>
    <w:rsid w:val="0034682A"/>
    <w:rPr>
      <w:rFonts w:asciiTheme="majorHAnsi" w:eastAsiaTheme="majorEastAsia" w:hAnsiTheme="majorHAnsi" w:cstheme="majorBidi"/>
      <w:color w:val="2E74B5" w:themeColor="accent1" w:themeShade="BF"/>
      <w:sz w:val="26"/>
      <w:szCs w:val="26"/>
    </w:rPr>
  </w:style>
  <w:style w:type="character" w:customStyle="1" w:styleId="CollegamentoInternet">
    <w:name w:val="Collegamento Internet"/>
    <w:basedOn w:val="Carpredefinitoparagrafo"/>
    <w:uiPriority w:val="99"/>
    <w:unhideWhenUsed/>
    <w:rsid w:val="003055EF"/>
    <w:rPr>
      <w:color w:val="0563C1" w:themeColor="hyperlink"/>
      <w:u w:val="single"/>
    </w:rPr>
  </w:style>
  <w:style w:type="character" w:customStyle="1" w:styleId="apple-style-span">
    <w:name w:val="apple-style-span"/>
    <w:basedOn w:val="Carpredefinitoparagrafo"/>
    <w:qFormat/>
    <w:rsid w:val="00373458"/>
  </w:style>
  <w:style w:type="character" w:customStyle="1" w:styleId="apple-converted-space">
    <w:name w:val="apple-converted-space"/>
    <w:basedOn w:val="Carpredefinitoparagrafo"/>
    <w:qFormat/>
    <w:rsid w:val="00373458"/>
  </w:style>
  <w:style w:type="character" w:customStyle="1" w:styleId="CollegamentoInternetvisitato">
    <w:name w:val="Collegamento Internet visitato"/>
    <w:basedOn w:val="Carpredefinitoparagrafo"/>
    <w:uiPriority w:val="99"/>
    <w:semiHidden/>
    <w:unhideWhenUsed/>
    <w:rsid w:val="00EB19FC"/>
    <w:rPr>
      <w:color w:val="954F72" w:themeColor="followedHyperlink"/>
      <w:u w:val="single"/>
    </w:rPr>
  </w:style>
  <w:style w:type="character" w:customStyle="1" w:styleId="TestofumettoCarattere">
    <w:name w:val="Testo fumetto Carattere"/>
    <w:basedOn w:val="Carpredefinitoparagrafo"/>
    <w:link w:val="Testofumetto"/>
    <w:uiPriority w:val="99"/>
    <w:semiHidden/>
    <w:qFormat/>
    <w:rsid w:val="005A3149"/>
    <w:rPr>
      <w:rFonts w:ascii="Tahoma" w:hAnsi="Tahoma" w:cs="Tahoma"/>
      <w:sz w:val="16"/>
      <w:szCs w:val="16"/>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unhideWhenUsed/>
    <w:rsid w:val="005D4FCE"/>
    <w:pPr>
      <w:spacing w:after="0" w:line="240" w:lineRule="auto"/>
    </w:pPr>
    <w:rPr>
      <w:sz w:val="20"/>
      <w:szCs w:val="20"/>
    </w:rPr>
  </w:style>
  <w:style w:type="paragraph" w:styleId="Paragrafoelenco">
    <w:name w:val="List Paragraph"/>
    <w:basedOn w:val="Normale"/>
    <w:uiPriority w:val="34"/>
    <w:qFormat/>
    <w:rsid w:val="004E0B15"/>
    <w:pPr>
      <w:ind w:left="720"/>
      <w:contextualSpacing/>
    </w:p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C1075B"/>
    <w:pPr>
      <w:tabs>
        <w:tab w:val="center" w:pos="4819"/>
        <w:tab w:val="right" w:pos="9638"/>
      </w:tabs>
      <w:spacing w:after="0" w:line="240" w:lineRule="auto"/>
    </w:pPr>
  </w:style>
  <w:style w:type="paragraph" w:styleId="Pidipagina">
    <w:name w:val="footer"/>
    <w:basedOn w:val="Normale"/>
    <w:link w:val="PidipaginaCarattere"/>
    <w:uiPriority w:val="99"/>
    <w:unhideWhenUsed/>
    <w:rsid w:val="00C1075B"/>
    <w:pPr>
      <w:tabs>
        <w:tab w:val="center" w:pos="4819"/>
        <w:tab w:val="right" w:pos="9638"/>
      </w:tabs>
      <w:spacing w:after="0" w:line="240" w:lineRule="auto"/>
    </w:pPr>
  </w:style>
  <w:style w:type="paragraph" w:styleId="NormaleWeb">
    <w:name w:val="Normal (Web)"/>
    <w:basedOn w:val="Normale"/>
    <w:uiPriority w:val="99"/>
    <w:semiHidden/>
    <w:unhideWhenUsed/>
    <w:qFormat/>
    <w:rsid w:val="006E7372"/>
    <w:pPr>
      <w:spacing w:beforeAutospacing="1" w:afterAutospacing="1" w:line="240" w:lineRule="auto"/>
    </w:pPr>
    <w:rPr>
      <w:rFonts w:ascii="Times New Roman" w:eastAsiaTheme="minorEastAsia" w:hAnsi="Times New Roman" w:cs="Times New Roman"/>
      <w:sz w:val="24"/>
      <w:szCs w:val="24"/>
      <w:lang w:eastAsia="it-IT"/>
    </w:rPr>
  </w:style>
  <w:style w:type="paragraph" w:styleId="Titolosommario">
    <w:name w:val="TOC Heading"/>
    <w:basedOn w:val="Titolo1"/>
    <w:next w:val="Normale"/>
    <w:uiPriority w:val="39"/>
    <w:unhideWhenUsed/>
    <w:qFormat/>
    <w:rsid w:val="003055EF"/>
    <w:rPr>
      <w:lang w:eastAsia="it-IT"/>
    </w:rPr>
  </w:style>
  <w:style w:type="paragraph" w:styleId="Sommario1">
    <w:name w:val="toc 1"/>
    <w:basedOn w:val="Normale"/>
    <w:next w:val="Normale"/>
    <w:autoRedefine/>
    <w:uiPriority w:val="39"/>
    <w:unhideWhenUsed/>
    <w:rsid w:val="003055EF"/>
    <w:pPr>
      <w:spacing w:after="100"/>
    </w:pPr>
  </w:style>
  <w:style w:type="paragraph" w:styleId="Sommario2">
    <w:name w:val="toc 2"/>
    <w:basedOn w:val="Normale"/>
    <w:next w:val="Normale"/>
    <w:autoRedefine/>
    <w:uiPriority w:val="39"/>
    <w:unhideWhenUsed/>
    <w:rsid w:val="003055EF"/>
    <w:pPr>
      <w:spacing w:after="100"/>
      <w:ind w:left="220"/>
    </w:pPr>
  </w:style>
  <w:style w:type="paragraph" w:styleId="Testofumetto">
    <w:name w:val="Balloon Text"/>
    <w:basedOn w:val="Normale"/>
    <w:link w:val="TestofumettoCarattere"/>
    <w:uiPriority w:val="99"/>
    <w:semiHidden/>
    <w:unhideWhenUsed/>
    <w:qFormat/>
    <w:rsid w:val="005A3149"/>
    <w:pPr>
      <w:spacing w:after="0" w:line="240" w:lineRule="auto"/>
    </w:pPr>
    <w:rPr>
      <w:rFonts w:ascii="Tahoma" w:hAnsi="Tahoma" w:cs="Tahoma"/>
      <w:sz w:val="16"/>
      <w:szCs w:val="16"/>
    </w:rPr>
  </w:style>
  <w:style w:type="paragraph" w:customStyle="1" w:styleId="Contenutocornice">
    <w:name w:val="Contenuto cornice"/>
    <w:basedOn w:val="Normale"/>
    <w:qFormat/>
  </w:style>
  <w:style w:type="table" w:customStyle="1" w:styleId="Tabellasemplice-11">
    <w:name w:val="Tabella semplice - 11"/>
    <w:basedOn w:val="Tabellanormale"/>
    <w:uiPriority w:val="41"/>
    <w:rsid w:val="00D71A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gliatabella">
    <w:name w:val="Table Grid"/>
    <w:basedOn w:val="Tabellanormale"/>
    <w:uiPriority w:val="39"/>
    <w:rsid w:val="00CB2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5scura-colore31">
    <w:name w:val="Tabella griglia 5 scura - colore 31"/>
    <w:basedOn w:val="Tabellanormale"/>
    <w:uiPriority w:val="50"/>
    <w:rsid w:val="000B5D5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6CE26-A2E2-4FAA-9FAC-3341F8D13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2890</Words>
  <Characters>16477</Characters>
  <Application>Microsoft Office Word</Application>
  <DocSecurity>0</DocSecurity>
  <Lines>137</Lines>
  <Paragraphs>38</Paragraphs>
  <ScaleCrop>false</ScaleCrop>
  <Company/>
  <LinksUpToDate>false</LinksUpToDate>
  <CharactersWithSpaces>19329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Comune Robbio</cp:lastModifiedBy>
  <cp:revision>12</cp:revision>
  <cp:lastPrinted>2023-06-20T11:54:00Z</cp:lastPrinted>
  <dcterms:created xsi:type="dcterms:W3CDTF">2021-01-28T10:08:00Z</dcterms:created>
  <dcterms:modified xsi:type="dcterms:W3CDTF">2023-06-21T11:32:00Z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