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6A56C" w14:textId="2B86D2EE" w:rsidR="00B53876" w:rsidRDefault="00B53876" w:rsidP="00B53876">
      <w:pPr>
        <w:jc w:val="center"/>
        <w:rPr>
          <w:sz w:val="40"/>
          <w:szCs w:val="40"/>
        </w:rPr>
      </w:pPr>
    </w:p>
    <w:p w14:paraId="6DB4C672" w14:textId="3D4A8AC8" w:rsidR="00B53876" w:rsidRDefault="00A06A9B" w:rsidP="00B53876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FBAF504" wp14:editId="477F6791">
            <wp:extent cx="1781175" cy="1371600"/>
            <wp:effectExtent l="0" t="0" r="0" b="0"/>
            <wp:docPr id="2" name="Immagine 1" descr="Comune di Rob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e di Robb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DF5AE" w14:textId="77777777" w:rsidR="00B53876" w:rsidRDefault="00B53876" w:rsidP="00B53876">
      <w:pPr>
        <w:jc w:val="center"/>
        <w:rPr>
          <w:sz w:val="40"/>
          <w:szCs w:val="40"/>
        </w:rPr>
      </w:pPr>
    </w:p>
    <w:p w14:paraId="3D36EE33" w14:textId="7CB2E06D" w:rsidR="00B53876" w:rsidRPr="00E80FFA" w:rsidRDefault="00B53876" w:rsidP="00B53876">
      <w:pPr>
        <w:jc w:val="center"/>
        <w:rPr>
          <w:b/>
          <w:bCs/>
          <w:sz w:val="40"/>
          <w:szCs w:val="40"/>
        </w:rPr>
      </w:pPr>
      <w:r w:rsidRPr="005464CA">
        <w:rPr>
          <w:b/>
          <w:bCs/>
          <w:sz w:val="40"/>
          <w:szCs w:val="40"/>
        </w:rPr>
        <w:t>Comune di</w:t>
      </w:r>
      <w:r>
        <w:rPr>
          <w:sz w:val="40"/>
          <w:szCs w:val="40"/>
        </w:rPr>
        <w:t xml:space="preserve"> </w:t>
      </w:r>
      <w:r w:rsidR="00A06A9B">
        <w:rPr>
          <w:b/>
          <w:bCs/>
          <w:sz w:val="40"/>
          <w:szCs w:val="40"/>
        </w:rPr>
        <w:t>ROBBIO</w:t>
      </w:r>
    </w:p>
    <w:p w14:paraId="42B69E50" w14:textId="77777777" w:rsidR="00127B3F" w:rsidRDefault="00127B3F" w:rsidP="00F45C37">
      <w:pPr>
        <w:jc w:val="both"/>
      </w:pPr>
    </w:p>
    <w:p w14:paraId="0165FA35" w14:textId="77777777" w:rsidR="00B53876" w:rsidRDefault="00B53876" w:rsidP="00B53876">
      <w:pPr>
        <w:jc w:val="center"/>
        <w:rPr>
          <w:b/>
          <w:bCs/>
          <w:i/>
          <w:iCs/>
          <w:color w:val="92D050"/>
          <w:sz w:val="44"/>
          <w:szCs w:val="44"/>
        </w:rPr>
      </w:pPr>
      <w:r w:rsidRPr="00127B3F">
        <w:rPr>
          <w:b/>
          <w:bCs/>
          <w:i/>
          <w:iCs/>
          <w:color w:val="92D050"/>
          <w:sz w:val="44"/>
          <w:szCs w:val="44"/>
        </w:rPr>
        <w:t>CARTA DELLA QUALIT</w:t>
      </w:r>
      <w:r>
        <w:rPr>
          <w:rFonts w:cstheme="minorHAnsi"/>
          <w:b/>
          <w:bCs/>
          <w:i/>
          <w:iCs/>
          <w:color w:val="92D050"/>
          <w:sz w:val="44"/>
          <w:szCs w:val="44"/>
        </w:rPr>
        <w:t>À</w:t>
      </w:r>
      <w:r w:rsidRPr="00127B3F">
        <w:rPr>
          <w:b/>
          <w:bCs/>
          <w:i/>
          <w:iCs/>
          <w:color w:val="92D050"/>
          <w:sz w:val="44"/>
          <w:szCs w:val="44"/>
        </w:rPr>
        <w:t xml:space="preserve"> DEL SERVIZIO RIFIUTI</w:t>
      </w:r>
    </w:p>
    <w:p w14:paraId="403C7096" w14:textId="77777777" w:rsidR="00B53876" w:rsidRDefault="00B53876" w:rsidP="00B53876">
      <w:pPr>
        <w:jc w:val="center"/>
        <w:rPr>
          <w:b/>
          <w:bCs/>
          <w:i/>
          <w:iCs/>
          <w:color w:val="92D050"/>
          <w:sz w:val="28"/>
          <w:szCs w:val="28"/>
        </w:rPr>
      </w:pPr>
      <w:r w:rsidRPr="004C1D09">
        <w:rPr>
          <w:b/>
          <w:bCs/>
          <w:i/>
          <w:iCs/>
          <w:color w:val="92D050"/>
          <w:sz w:val="28"/>
          <w:szCs w:val="28"/>
        </w:rPr>
        <w:t>ai sensi dell’art. 5 dell’allegato A alla Deliberazione 15/2022/R/Rif di ARERA</w:t>
      </w:r>
    </w:p>
    <w:p w14:paraId="69B80036" w14:textId="77777777" w:rsidR="00B53876" w:rsidRDefault="00B53876" w:rsidP="00B53876">
      <w:pPr>
        <w:jc w:val="center"/>
        <w:rPr>
          <w:b/>
          <w:bCs/>
          <w:i/>
          <w:iCs/>
          <w:color w:val="92D050"/>
          <w:sz w:val="28"/>
          <w:szCs w:val="28"/>
        </w:rPr>
      </w:pPr>
    </w:p>
    <w:p w14:paraId="52ECF520" w14:textId="77777777" w:rsidR="00B53876" w:rsidRPr="004C1D09" w:rsidRDefault="00B53876" w:rsidP="00B53876">
      <w:pPr>
        <w:jc w:val="center"/>
        <w:rPr>
          <w:b/>
          <w:bCs/>
          <w:i/>
          <w:iCs/>
          <w:color w:val="008000"/>
          <w:sz w:val="32"/>
          <w:szCs w:val="32"/>
        </w:rPr>
      </w:pPr>
      <w:r w:rsidRPr="004C1D09">
        <w:rPr>
          <w:b/>
          <w:bCs/>
          <w:i/>
          <w:iCs/>
          <w:color w:val="008000"/>
          <w:sz w:val="32"/>
          <w:szCs w:val="32"/>
        </w:rPr>
        <w:t>GESTORE DELLA TARIFFA E RAPPORTO CON GLI UTENTI</w:t>
      </w:r>
    </w:p>
    <w:p w14:paraId="02F01027" w14:textId="74975358" w:rsidR="00E816AC" w:rsidRDefault="00A300CC" w:rsidP="00901D91">
      <w:pPr>
        <w:pStyle w:val="Titolo1"/>
        <w:spacing w:line="240" w:lineRule="auto"/>
        <w:jc w:val="both"/>
      </w:pPr>
      <w:r>
        <w:br w:type="page"/>
      </w:r>
      <w:bookmarkStart w:id="0" w:name="_Toc115708072"/>
      <w:bookmarkStart w:id="1" w:name="_Toc117090290"/>
      <w:bookmarkStart w:id="2" w:name="_Toc117090694"/>
      <w:bookmarkStart w:id="3" w:name="_Toc117090770"/>
      <w:bookmarkStart w:id="4" w:name="_Toc121480108"/>
      <w:bookmarkStart w:id="5" w:name="_Toc121730029"/>
      <w:bookmarkStart w:id="6" w:name="_Toc121998676"/>
      <w:r w:rsidRPr="00A300CC">
        <w:lastRenderedPageBreak/>
        <w:t>Indice</w:t>
      </w:r>
      <w:bookmarkEnd w:id="0"/>
      <w:bookmarkEnd w:id="1"/>
      <w:bookmarkEnd w:id="2"/>
      <w:bookmarkEnd w:id="3"/>
      <w:bookmarkEnd w:id="4"/>
      <w:bookmarkEnd w:id="5"/>
      <w:bookmarkEnd w:id="6"/>
    </w:p>
    <w:sdt>
      <w:sdtPr>
        <w:id w:val="13449729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BDFE82" w14:textId="3A0AD6D1" w:rsidR="00893DEA" w:rsidRDefault="00901D91">
          <w:pPr>
            <w:pStyle w:val="Sommario1"/>
            <w:rPr>
              <w:rFonts w:eastAsiaTheme="minorEastAsia"/>
              <w:noProof/>
              <w:sz w:val="22"/>
              <w:lang w:eastAsia="it-IT"/>
            </w:rPr>
          </w:pPr>
          <w:r w:rsidRPr="00665BCB">
            <w:rPr>
              <w:rFonts w:eastAsiaTheme="majorEastAsia" w:cstheme="majorBidi"/>
              <w:sz w:val="36"/>
              <w:szCs w:val="32"/>
              <w:lang w:eastAsia="it-IT"/>
            </w:rPr>
            <w:fldChar w:fldCharType="begin"/>
          </w:r>
          <w:r w:rsidRPr="00665BCB">
            <w:rPr>
              <w:rFonts w:eastAsiaTheme="majorEastAsia" w:cstheme="majorBidi"/>
              <w:sz w:val="36"/>
              <w:szCs w:val="32"/>
              <w:lang w:eastAsia="it-IT"/>
            </w:rPr>
            <w:instrText xml:space="preserve"> TOC \o "1-3" \h \z \u </w:instrText>
          </w:r>
          <w:r w:rsidRPr="00665BCB">
            <w:rPr>
              <w:rFonts w:eastAsiaTheme="majorEastAsia" w:cstheme="majorBidi"/>
              <w:sz w:val="36"/>
              <w:szCs w:val="32"/>
              <w:lang w:eastAsia="it-IT"/>
            </w:rPr>
            <w:fldChar w:fldCharType="separate"/>
          </w:r>
          <w:hyperlink w:anchor="_Toc121998676" w:history="1">
            <w:r w:rsidR="00893DEA" w:rsidRPr="00973F16">
              <w:rPr>
                <w:rStyle w:val="Collegamentoipertestuale"/>
                <w:noProof/>
              </w:rPr>
              <w:t>Indice</w:t>
            </w:r>
            <w:r w:rsidR="00893DEA">
              <w:rPr>
                <w:noProof/>
                <w:webHidden/>
              </w:rPr>
              <w:tab/>
            </w:r>
            <w:r w:rsidR="00893DEA">
              <w:rPr>
                <w:noProof/>
                <w:webHidden/>
              </w:rPr>
              <w:fldChar w:fldCharType="begin"/>
            </w:r>
            <w:r w:rsidR="00893DEA">
              <w:rPr>
                <w:noProof/>
                <w:webHidden/>
              </w:rPr>
              <w:instrText xml:space="preserve"> PAGEREF _Toc121998676 \h </w:instrText>
            </w:r>
            <w:r w:rsidR="00893DEA">
              <w:rPr>
                <w:noProof/>
                <w:webHidden/>
              </w:rPr>
            </w:r>
            <w:r w:rsidR="00893DEA">
              <w:rPr>
                <w:noProof/>
                <w:webHidden/>
              </w:rPr>
              <w:fldChar w:fldCharType="separate"/>
            </w:r>
            <w:r w:rsidR="00F862E8">
              <w:rPr>
                <w:noProof/>
                <w:webHidden/>
              </w:rPr>
              <w:t>2</w:t>
            </w:r>
            <w:r w:rsidR="00893DEA">
              <w:rPr>
                <w:noProof/>
                <w:webHidden/>
              </w:rPr>
              <w:fldChar w:fldCharType="end"/>
            </w:r>
          </w:hyperlink>
        </w:p>
        <w:p w14:paraId="50D9BA63" w14:textId="2525EB4A" w:rsidR="00893DEA" w:rsidRDefault="00093A63">
          <w:pPr>
            <w:pStyle w:val="Sommario1"/>
            <w:tabs>
              <w:tab w:val="left" w:pos="440"/>
            </w:tabs>
            <w:rPr>
              <w:rFonts w:eastAsiaTheme="minorEastAsia"/>
              <w:noProof/>
              <w:sz w:val="22"/>
              <w:lang w:eastAsia="it-IT"/>
            </w:rPr>
          </w:pPr>
          <w:hyperlink w:anchor="_Toc121998677" w:history="1">
            <w:r w:rsidR="00893DEA" w:rsidRPr="00973F16">
              <w:rPr>
                <w:rStyle w:val="Collegamentoipertestuale"/>
                <w:noProof/>
              </w:rPr>
              <w:t>1.</w:t>
            </w:r>
            <w:r w:rsidR="00893DEA">
              <w:rPr>
                <w:rFonts w:eastAsiaTheme="minorEastAsia"/>
                <w:noProof/>
                <w:sz w:val="22"/>
                <w:lang w:eastAsia="it-IT"/>
              </w:rPr>
              <w:tab/>
            </w:r>
            <w:r w:rsidR="00893DEA" w:rsidRPr="00973F16">
              <w:rPr>
                <w:rStyle w:val="Collegamentoipertestuale"/>
                <w:noProof/>
              </w:rPr>
              <w:t>Riferimenti normativi e di prassi amministrativa</w:t>
            </w:r>
            <w:r w:rsidR="00893DEA">
              <w:rPr>
                <w:noProof/>
                <w:webHidden/>
              </w:rPr>
              <w:tab/>
            </w:r>
            <w:r w:rsidR="00893DEA">
              <w:rPr>
                <w:noProof/>
                <w:webHidden/>
              </w:rPr>
              <w:fldChar w:fldCharType="begin"/>
            </w:r>
            <w:r w:rsidR="00893DEA">
              <w:rPr>
                <w:noProof/>
                <w:webHidden/>
              </w:rPr>
              <w:instrText xml:space="preserve"> PAGEREF _Toc121998677 \h </w:instrText>
            </w:r>
            <w:r w:rsidR="00893DEA">
              <w:rPr>
                <w:noProof/>
                <w:webHidden/>
              </w:rPr>
            </w:r>
            <w:r w:rsidR="00893DEA">
              <w:rPr>
                <w:noProof/>
                <w:webHidden/>
              </w:rPr>
              <w:fldChar w:fldCharType="separate"/>
            </w:r>
            <w:r w:rsidR="00F862E8">
              <w:rPr>
                <w:noProof/>
                <w:webHidden/>
              </w:rPr>
              <w:t>3</w:t>
            </w:r>
            <w:r w:rsidR="00893DEA">
              <w:rPr>
                <w:noProof/>
                <w:webHidden/>
              </w:rPr>
              <w:fldChar w:fldCharType="end"/>
            </w:r>
          </w:hyperlink>
        </w:p>
        <w:p w14:paraId="4BD036CA" w14:textId="797DFA66" w:rsidR="00893DEA" w:rsidRDefault="00093A63">
          <w:pPr>
            <w:pStyle w:val="Sommario1"/>
            <w:tabs>
              <w:tab w:val="left" w:pos="440"/>
            </w:tabs>
            <w:rPr>
              <w:rFonts w:eastAsiaTheme="minorEastAsia"/>
              <w:noProof/>
              <w:sz w:val="22"/>
              <w:lang w:eastAsia="it-IT"/>
            </w:rPr>
          </w:pPr>
          <w:hyperlink w:anchor="_Toc121998678" w:history="1">
            <w:r w:rsidR="00893DEA" w:rsidRPr="00973F16">
              <w:rPr>
                <w:rStyle w:val="Collegamentoipertestuale"/>
                <w:noProof/>
              </w:rPr>
              <w:t>2.</w:t>
            </w:r>
            <w:r w:rsidR="00893DEA">
              <w:rPr>
                <w:rFonts w:eastAsiaTheme="minorEastAsia"/>
                <w:noProof/>
                <w:sz w:val="22"/>
                <w:lang w:eastAsia="it-IT"/>
              </w:rPr>
              <w:tab/>
            </w:r>
            <w:r w:rsidR="00893DEA" w:rsidRPr="00973F16">
              <w:rPr>
                <w:rStyle w:val="Collegamentoipertestuale"/>
                <w:noProof/>
              </w:rPr>
              <w:t>Cos’è la Carta della qualità del servizio e quali sono i suoi obiettivi</w:t>
            </w:r>
            <w:r w:rsidR="00893DEA">
              <w:rPr>
                <w:noProof/>
                <w:webHidden/>
              </w:rPr>
              <w:tab/>
            </w:r>
            <w:r w:rsidR="00893DEA">
              <w:rPr>
                <w:noProof/>
                <w:webHidden/>
              </w:rPr>
              <w:fldChar w:fldCharType="begin"/>
            </w:r>
            <w:r w:rsidR="00893DEA">
              <w:rPr>
                <w:noProof/>
                <w:webHidden/>
              </w:rPr>
              <w:instrText xml:space="preserve"> PAGEREF _Toc121998678 \h </w:instrText>
            </w:r>
            <w:r w:rsidR="00893DEA">
              <w:rPr>
                <w:noProof/>
                <w:webHidden/>
              </w:rPr>
            </w:r>
            <w:r w:rsidR="00893DEA">
              <w:rPr>
                <w:noProof/>
                <w:webHidden/>
              </w:rPr>
              <w:fldChar w:fldCharType="separate"/>
            </w:r>
            <w:r w:rsidR="00F862E8">
              <w:rPr>
                <w:noProof/>
                <w:webHidden/>
              </w:rPr>
              <w:t>4</w:t>
            </w:r>
            <w:r w:rsidR="00893DEA">
              <w:rPr>
                <w:noProof/>
                <w:webHidden/>
              </w:rPr>
              <w:fldChar w:fldCharType="end"/>
            </w:r>
          </w:hyperlink>
        </w:p>
        <w:p w14:paraId="0DD2C086" w14:textId="142FB366" w:rsidR="00893DEA" w:rsidRDefault="00093A63">
          <w:pPr>
            <w:pStyle w:val="Sommario1"/>
            <w:tabs>
              <w:tab w:val="left" w:pos="440"/>
            </w:tabs>
            <w:rPr>
              <w:rFonts w:eastAsiaTheme="minorEastAsia"/>
              <w:noProof/>
              <w:sz w:val="22"/>
              <w:lang w:eastAsia="it-IT"/>
            </w:rPr>
          </w:pPr>
          <w:hyperlink w:anchor="_Toc121998679" w:history="1">
            <w:r w:rsidR="00893DEA" w:rsidRPr="00973F16">
              <w:rPr>
                <w:rStyle w:val="Collegamentoipertestuale"/>
                <w:noProof/>
              </w:rPr>
              <w:t>3.</w:t>
            </w:r>
            <w:r w:rsidR="00893DEA">
              <w:rPr>
                <w:rFonts w:eastAsiaTheme="minorEastAsia"/>
                <w:noProof/>
                <w:sz w:val="22"/>
                <w:lang w:eastAsia="it-IT"/>
              </w:rPr>
              <w:tab/>
            </w:r>
            <w:r w:rsidR="00893DEA" w:rsidRPr="00973F16">
              <w:rPr>
                <w:rStyle w:val="Collegamentoipertestuale"/>
                <w:noProof/>
              </w:rPr>
              <w:t>Territorio di riferimento</w:t>
            </w:r>
            <w:r w:rsidR="00893DEA">
              <w:rPr>
                <w:noProof/>
                <w:webHidden/>
              </w:rPr>
              <w:tab/>
            </w:r>
            <w:r w:rsidR="00893DEA">
              <w:rPr>
                <w:noProof/>
                <w:webHidden/>
              </w:rPr>
              <w:fldChar w:fldCharType="begin"/>
            </w:r>
            <w:r w:rsidR="00893DEA">
              <w:rPr>
                <w:noProof/>
                <w:webHidden/>
              </w:rPr>
              <w:instrText xml:space="preserve"> PAGEREF _Toc121998679 \h </w:instrText>
            </w:r>
            <w:r w:rsidR="00893DEA">
              <w:rPr>
                <w:noProof/>
                <w:webHidden/>
              </w:rPr>
            </w:r>
            <w:r w:rsidR="00893DEA">
              <w:rPr>
                <w:noProof/>
                <w:webHidden/>
              </w:rPr>
              <w:fldChar w:fldCharType="separate"/>
            </w:r>
            <w:r w:rsidR="00F862E8">
              <w:rPr>
                <w:noProof/>
                <w:webHidden/>
              </w:rPr>
              <w:t>4</w:t>
            </w:r>
            <w:r w:rsidR="00893DEA">
              <w:rPr>
                <w:noProof/>
                <w:webHidden/>
              </w:rPr>
              <w:fldChar w:fldCharType="end"/>
            </w:r>
          </w:hyperlink>
        </w:p>
        <w:p w14:paraId="69307FB0" w14:textId="380698D2" w:rsidR="00893DEA" w:rsidRDefault="00093A63">
          <w:pPr>
            <w:pStyle w:val="Sommario1"/>
            <w:tabs>
              <w:tab w:val="left" w:pos="440"/>
            </w:tabs>
            <w:rPr>
              <w:rFonts w:eastAsiaTheme="minorEastAsia"/>
              <w:noProof/>
              <w:sz w:val="22"/>
              <w:lang w:eastAsia="it-IT"/>
            </w:rPr>
          </w:pPr>
          <w:hyperlink w:anchor="_Toc121998680" w:history="1">
            <w:r w:rsidR="00893DEA" w:rsidRPr="00973F16">
              <w:rPr>
                <w:rStyle w:val="Collegamentoipertestuale"/>
                <w:noProof/>
              </w:rPr>
              <w:t>4.</w:t>
            </w:r>
            <w:r w:rsidR="00893DEA">
              <w:rPr>
                <w:rFonts w:eastAsiaTheme="minorEastAsia"/>
                <w:noProof/>
                <w:sz w:val="22"/>
                <w:lang w:eastAsia="it-IT"/>
              </w:rPr>
              <w:tab/>
            </w:r>
            <w:r w:rsidR="00893DEA" w:rsidRPr="00973F16">
              <w:rPr>
                <w:rStyle w:val="Collegamentoipertestuale"/>
                <w:noProof/>
              </w:rPr>
              <w:t>Principi di erogazione del servizio</w:t>
            </w:r>
            <w:r w:rsidR="00893DEA">
              <w:rPr>
                <w:noProof/>
                <w:webHidden/>
              </w:rPr>
              <w:tab/>
            </w:r>
            <w:r w:rsidR="00893DEA">
              <w:rPr>
                <w:noProof/>
                <w:webHidden/>
              </w:rPr>
              <w:fldChar w:fldCharType="begin"/>
            </w:r>
            <w:r w:rsidR="00893DEA">
              <w:rPr>
                <w:noProof/>
                <w:webHidden/>
              </w:rPr>
              <w:instrText xml:space="preserve"> PAGEREF _Toc121998680 \h </w:instrText>
            </w:r>
            <w:r w:rsidR="00893DEA">
              <w:rPr>
                <w:noProof/>
                <w:webHidden/>
              </w:rPr>
            </w:r>
            <w:r w:rsidR="00893DEA">
              <w:rPr>
                <w:noProof/>
                <w:webHidden/>
              </w:rPr>
              <w:fldChar w:fldCharType="separate"/>
            </w:r>
            <w:r w:rsidR="00F862E8">
              <w:rPr>
                <w:noProof/>
                <w:webHidden/>
              </w:rPr>
              <w:t>5</w:t>
            </w:r>
            <w:r w:rsidR="00893DEA">
              <w:rPr>
                <w:noProof/>
                <w:webHidden/>
              </w:rPr>
              <w:fldChar w:fldCharType="end"/>
            </w:r>
          </w:hyperlink>
        </w:p>
        <w:p w14:paraId="049F66D2" w14:textId="5315D624" w:rsidR="00893DEA" w:rsidRDefault="00093A63">
          <w:pPr>
            <w:pStyle w:val="Sommario1"/>
            <w:tabs>
              <w:tab w:val="left" w:pos="440"/>
            </w:tabs>
            <w:rPr>
              <w:rFonts w:eastAsiaTheme="minorEastAsia"/>
              <w:noProof/>
              <w:sz w:val="22"/>
              <w:lang w:eastAsia="it-IT"/>
            </w:rPr>
          </w:pPr>
          <w:hyperlink w:anchor="_Toc121998681" w:history="1">
            <w:r w:rsidR="00893DEA" w:rsidRPr="00973F16">
              <w:rPr>
                <w:rStyle w:val="Collegamentoipertestuale"/>
                <w:noProof/>
              </w:rPr>
              <w:t>5.</w:t>
            </w:r>
            <w:r w:rsidR="00893DEA">
              <w:rPr>
                <w:rFonts w:eastAsiaTheme="minorEastAsia"/>
                <w:noProof/>
                <w:sz w:val="22"/>
                <w:lang w:eastAsia="it-IT"/>
              </w:rPr>
              <w:tab/>
            </w:r>
            <w:r w:rsidR="00893DEA" w:rsidRPr="00973F16">
              <w:rPr>
                <w:rStyle w:val="Collegamentoipertestuale"/>
                <w:noProof/>
              </w:rPr>
              <w:t>Gestori</w:t>
            </w:r>
            <w:r w:rsidR="00893DEA">
              <w:rPr>
                <w:noProof/>
                <w:webHidden/>
              </w:rPr>
              <w:tab/>
            </w:r>
            <w:r w:rsidR="00893DEA">
              <w:rPr>
                <w:noProof/>
                <w:webHidden/>
              </w:rPr>
              <w:fldChar w:fldCharType="begin"/>
            </w:r>
            <w:r w:rsidR="00893DEA">
              <w:rPr>
                <w:noProof/>
                <w:webHidden/>
              </w:rPr>
              <w:instrText xml:space="preserve"> PAGEREF _Toc121998681 \h </w:instrText>
            </w:r>
            <w:r w:rsidR="00893DEA">
              <w:rPr>
                <w:noProof/>
                <w:webHidden/>
              </w:rPr>
            </w:r>
            <w:r w:rsidR="00893DEA">
              <w:rPr>
                <w:noProof/>
                <w:webHidden/>
              </w:rPr>
              <w:fldChar w:fldCharType="separate"/>
            </w:r>
            <w:r w:rsidR="00F862E8">
              <w:rPr>
                <w:noProof/>
                <w:webHidden/>
              </w:rPr>
              <w:t>6</w:t>
            </w:r>
            <w:r w:rsidR="00893DEA">
              <w:rPr>
                <w:noProof/>
                <w:webHidden/>
              </w:rPr>
              <w:fldChar w:fldCharType="end"/>
            </w:r>
          </w:hyperlink>
        </w:p>
        <w:p w14:paraId="72383EA2" w14:textId="2BBD0E52" w:rsidR="00893DEA" w:rsidRDefault="00093A63">
          <w:pPr>
            <w:pStyle w:val="Sommario1"/>
            <w:tabs>
              <w:tab w:val="left" w:pos="440"/>
            </w:tabs>
            <w:rPr>
              <w:rFonts w:eastAsiaTheme="minorEastAsia"/>
              <w:noProof/>
              <w:sz w:val="22"/>
              <w:lang w:eastAsia="it-IT"/>
            </w:rPr>
          </w:pPr>
          <w:hyperlink w:anchor="_Toc121998682" w:history="1">
            <w:r w:rsidR="00893DEA" w:rsidRPr="00973F16">
              <w:rPr>
                <w:rStyle w:val="Collegamentoipertestuale"/>
                <w:noProof/>
              </w:rPr>
              <w:t>6.</w:t>
            </w:r>
            <w:r w:rsidR="00893DEA">
              <w:rPr>
                <w:rFonts w:eastAsiaTheme="minorEastAsia"/>
                <w:noProof/>
                <w:sz w:val="22"/>
                <w:lang w:eastAsia="it-IT"/>
              </w:rPr>
              <w:tab/>
            </w:r>
            <w:r w:rsidR="00893DEA" w:rsidRPr="00973F16">
              <w:rPr>
                <w:rStyle w:val="Collegamentoipertestuale"/>
                <w:noProof/>
              </w:rPr>
              <w:t>Posizionamento nella matrice degli schemi regolatori</w:t>
            </w:r>
            <w:r w:rsidR="00893DEA">
              <w:rPr>
                <w:noProof/>
                <w:webHidden/>
              </w:rPr>
              <w:tab/>
            </w:r>
            <w:r w:rsidR="00893DEA">
              <w:rPr>
                <w:noProof/>
                <w:webHidden/>
              </w:rPr>
              <w:fldChar w:fldCharType="begin"/>
            </w:r>
            <w:r w:rsidR="00893DEA">
              <w:rPr>
                <w:noProof/>
                <w:webHidden/>
              </w:rPr>
              <w:instrText xml:space="preserve"> PAGEREF _Toc121998682 \h </w:instrText>
            </w:r>
            <w:r w:rsidR="00893DEA">
              <w:rPr>
                <w:noProof/>
                <w:webHidden/>
              </w:rPr>
            </w:r>
            <w:r w:rsidR="00893DEA">
              <w:rPr>
                <w:noProof/>
                <w:webHidden/>
              </w:rPr>
              <w:fldChar w:fldCharType="separate"/>
            </w:r>
            <w:r w:rsidR="00F862E8">
              <w:rPr>
                <w:noProof/>
                <w:webHidden/>
              </w:rPr>
              <w:t>7</w:t>
            </w:r>
            <w:r w:rsidR="00893DEA">
              <w:rPr>
                <w:noProof/>
                <w:webHidden/>
              </w:rPr>
              <w:fldChar w:fldCharType="end"/>
            </w:r>
          </w:hyperlink>
        </w:p>
        <w:p w14:paraId="72C7BD77" w14:textId="07CF0EBD" w:rsidR="00893DEA" w:rsidRDefault="00093A63">
          <w:pPr>
            <w:pStyle w:val="Sommario1"/>
            <w:tabs>
              <w:tab w:val="left" w:pos="440"/>
            </w:tabs>
            <w:rPr>
              <w:rFonts w:eastAsiaTheme="minorEastAsia"/>
              <w:noProof/>
              <w:sz w:val="22"/>
              <w:lang w:eastAsia="it-IT"/>
            </w:rPr>
          </w:pPr>
          <w:hyperlink w:anchor="_Toc121998683" w:history="1">
            <w:r w:rsidR="00893DEA" w:rsidRPr="00973F16">
              <w:rPr>
                <w:rStyle w:val="Collegamentoipertestuale"/>
                <w:noProof/>
              </w:rPr>
              <w:t>7.</w:t>
            </w:r>
            <w:r w:rsidR="00893DEA">
              <w:rPr>
                <w:rFonts w:eastAsiaTheme="minorEastAsia"/>
                <w:noProof/>
                <w:sz w:val="22"/>
                <w:lang w:eastAsia="it-IT"/>
              </w:rPr>
              <w:tab/>
            </w:r>
            <w:r w:rsidR="00893DEA" w:rsidRPr="00973F16">
              <w:rPr>
                <w:rStyle w:val="Collegamentoipertestuale"/>
                <w:noProof/>
              </w:rPr>
              <w:t>Obblighi di servizio e standard generali di qualità contrattuale e tecnica</w:t>
            </w:r>
            <w:r w:rsidR="00893DEA">
              <w:rPr>
                <w:noProof/>
                <w:webHidden/>
              </w:rPr>
              <w:tab/>
            </w:r>
            <w:r w:rsidR="00893DEA">
              <w:rPr>
                <w:noProof/>
                <w:webHidden/>
              </w:rPr>
              <w:fldChar w:fldCharType="begin"/>
            </w:r>
            <w:r w:rsidR="00893DEA">
              <w:rPr>
                <w:noProof/>
                <w:webHidden/>
              </w:rPr>
              <w:instrText xml:space="preserve"> PAGEREF _Toc121998683 \h </w:instrText>
            </w:r>
            <w:r w:rsidR="00893DEA">
              <w:rPr>
                <w:noProof/>
                <w:webHidden/>
              </w:rPr>
            </w:r>
            <w:r w:rsidR="00893DEA">
              <w:rPr>
                <w:noProof/>
                <w:webHidden/>
              </w:rPr>
              <w:fldChar w:fldCharType="separate"/>
            </w:r>
            <w:r w:rsidR="00F862E8">
              <w:rPr>
                <w:noProof/>
                <w:webHidden/>
              </w:rPr>
              <w:t>8</w:t>
            </w:r>
            <w:r w:rsidR="00893DEA">
              <w:rPr>
                <w:noProof/>
                <w:webHidden/>
              </w:rPr>
              <w:fldChar w:fldCharType="end"/>
            </w:r>
          </w:hyperlink>
        </w:p>
        <w:p w14:paraId="73BC7EBB" w14:textId="7FF645B2" w:rsidR="00893DEA" w:rsidRDefault="00093A63">
          <w:pPr>
            <w:pStyle w:val="Sommario1"/>
            <w:tabs>
              <w:tab w:val="left" w:pos="440"/>
            </w:tabs>
            <w:rPr>
              <w:rFonts w:eastAsiaTheme="minorEastAsia"/>
              <w:noProof/>
              <w:sz w:val="22"/>
              <w:lang w:eastAsia="it-IT"/>
            </w:rPr>
          </w:pPr>
          <w:hyperlink w:anchor="_Toc121998684" w:history="1">
            <w:r w:rsidR="00893DEA" w:rsidRPr="00973F16">
              <w:rPr>
                <w:rStyle w:val="Collegamentoipertestuale"/>
                <w:noProof/>
                <w:spacing w:val="-10"/>
                <w:kern w:val="28"/>
              </w:rPr>
              <w:t>8.</w:t>
            </w:r>
            <w:r w:rsidR="00893DEA">
              <w:rPr>
                <w:rFonts w:eastAsiaTheme="minorEastAsia"/>
                <w:noProof/>
                <w:sz w:val="22"/>
                <w:lang w:eastAsia="it-IT"/>
              </w:rPr>
              <w:tab/>
            </w:r>
            <w:r w:rsidR="00893DEA" w:rsidRPr="00973F16">
              <w:rPr>
                <w:rStyle w:val="Collegamentoipertestuale"/>
                <w:noProof/>
              </w:rPr>
              <w:t>Modalità di erogazione del servizio di Gestione della Tariffa e Rapporto con gli Utenti</w:t>
            </w:r>
            <w:r w:rsidR="00893DEA">
              <w:rPr>
                <w:noProof/>
                <w:webHidden/>
              </w:rPr>
              <w:tab/>
            </w:r>
            <w:r w:rsidR="00893DEA">
              <w:rPr>
                <w:noProof/>
                <w:webHidden/>
              </w:rPr>
              <w:fldChar w:fldCharType="begin"/>
            </w:r>
            <w:r w:rsidR="00893DEA">
              <w:rPr>
                <w:noProof/>
                <w:webHidden/>
              </w:rPr>
              <w:instrText xml:space="preserve"> PAGEREF _Toc121998684 \h </w:instrText>
            </w:r>
            <w:r w:rsidR="00893DEA">
              <w:rPr>
                <w:noProof/>
                <w:webHidden/>
              </w:rPr>
            </w:r>
            <w:r w:rsidR="00893DEA">
              <w:rPr>
                <w:noProof/>
                <w:webHidden/>
              </w:rPr>
              <w:fldChar w:fldCharType="separate"/>
            </w:r>
            <w:r w:rsidR="00F862E8">
              <w:rPr>
                <w:noProof/>
                <w:webHidden/>
              </w:rPr>
              <w:t>9</w:t>
            </w:r>
            <w:r w:rsidR="00893DEA">
              <w:rPr>
                <w:noProof/>
                <w:webHidden/>
              </w:rPr>
              <w:fldChar w:fldCharType="end"/>
            </w:r>
          </w:hyperlink>
        </w:p>
        <w:p w14:paraId="17194C8A" w14:textId="1ED491C3" w:rsidR="00893DEA" w:rsidRDefault="00093A63">
          <w:pPr>
            <w:pStyle w:val="Sommario1"/>
            <w:tabs>
              <w:tab w:val="left" w:pos="660"/>
            </w:tabs>
            <w:rPr>
              <w:rFonts w:eastAsiaTheme="minorEastAsia"/>
              <w:noProof/>
              <w:sz w:val="22"/>
              <w:lang w:eastAsia="it-IT"/>
            </w:rPr>
          </w:pPr>
          <w:hyperlink w:anchor="_Toc121998686" w:history="1">
            <w:r w:rsidR="00EB03C1">
              <w:rPr>
                <w:rStyle w:val="Collegamentoipertestuale"/>
                <w:noProof/>
              </w:rPr>
              <w:t>9</w:t>
            </w:r>
            <w:r w:rsidR="00893DEA" w:rsidRPr="00973F16">
              <w:rPr>
                <w:rStyle w:val="Collegamentoipertestuale"/>
                <w:noProof/>
              </w:rPr>
              <w:t>.</w:t>
            </w:r>
            <w:r w:rsidR="00893DEA">
              <w:rPr>
                <w:rFonts w:eastAsiaTheme="minorEastAsia"/>
                <w:noProof/>
                <w:sz w:val="22"/>
                <w:lang w:eastAsia="it-IT"/>
              </w:rPr>
              <w:tab/>
            </w:r>
            <w:r w:rsidR="00893DEA" w:rsidRPr="00973F16">
              <w:rPr>
                <w:rStyle w:val="Collegamentoipertestuale"/>
                <w:noProof/>
              </w:rPr>
              <w:t>Trasparenza</w:t>
            </w:r>
            <w:r w:rsidR="00893DEA">
              <w:rPr>
                <w:noProof/>
                <w:webHidden/>
              </w:rPr>
              <w:tab/>
            </w:r>
            <w:r w:rsidR="00893DEA">
              <w:rPr>
                <w:noProof/>
                <w:webHidden/>
              </w:rPr>
              <w:fldChar w:fldCharType="begin"/>
            </w:r>
            <w:r w:rsidR="00893DEA">
              <w:rPr>
                <w:noProof/>
                <w:webHidden/>
              </w:rPr>
              <w:instrText xml:space="preserve"> PAGEREF _Toc121998686 \h </w:instrText>
            </w:r>
            <w:r w:rsidR="00893DEA">
              <w:rPr>
                <w:noProof/>
                <w:webHidden/>
              </w:rPr>
            </w:r>
            <w:r w:rsidR="00893DEA">
              <w:rPr>
                <w:noProof/>
                <w:webHidden/>
              </w:rPr>
              <w:fldChar w:fldCharType="separate"/>
            </w:r>
            <w:r w:rsidR="00F862E8">
              <w:rPr>
                <w:noProof/>
                <w:webHidden/>
              </w:rPr>
              <w:t>12</w:t>
            </w:r>
            <w:r w:rsidR="00893DEA">
              <w:rPr>
                <w:noProof/>
                <w:webHidden/>
              </w:rPr>
              <w:fldChar w:fldCharType="end"/>
            </w:r>
          </w:hyperlink>
        </w:p>
        <w:p w14:paraId="4099F657" w14:textId="07BE4E0A" w:rsidR="00893DEA" w:rsidRDefault="00093A63">
          <w:pPr>
            <w:pStyle w:val="Sommario1"/>
            <w:tabs>
              <w:tab w:val="left" w:pos="660"/>
            </w:tabs>
            <w:rPr>
              <w:rFonts w:eastAsiaTheme="minorEastAsia"/>
              <w:noProof/>
              <w:sz w:val="22"/>
              <w:lang w:eastAsia="it-IT"/>
            </w:rPr>
          </w:pPr>
          <w:hyperlink w:anchor="_Toc121998687" w:history="1">
            <w:r w:rsidR="00893DEA" w:rsidRPr="00973F16">
              <w:rPr>
                <w:rStyle w:val="Collegamentoipertestuale"/>
                <w:noProof/>
              </w:rPr>
              <w:t>1</w:t>
            </w:r>
            <w:r w:rsidR="00EB03C1">
              <w:rPr>
                <w:rStyle w:val="Collegamentoipertestuale"/>
                <w:noProof/>
              </w:rPr>
              <w:t>0</w:t>
            </w:r>
            <w:r w:rsidR="00893DEA" w:rsidRPr="00973F16">
              <w:rPr>
                <w:rStyle w:val="Collegamentoipertestuale"/>
                <w:noProof/>
              </w:rPr>
              <w:t>.</w:t>
            </w:r>
            <w:r w:rsidR="00893DEA">
              <w:rPr>
                <w:rFonts w:eastAsiaTheme="minorEastAsia"/>
                <w:noProof/>
                <w:sz w:val="22"/>
                <w:lang w:eastAsia="it-IT"/>
              </w:rPr>
              <w:tab/>
            </w:r>
            <w:r w:rsidR="00893DEA" w:rsidRPr="00973F16">
              <w:rPr>
                <w:rStyle w:val="Collegamentoipertestuale"/>
                <w:noProof/>
              </w:rPr>
              <w:t>Privacy</w:t>
            </w:r>
            <w:r w:rsidR="00893DEA">
              <w:rPr>
                <w:noProof/>
                <w:webHidden/>
              </w:rPr>
              <w:tab/>
            </w:r>
            <w:r w:rsidR="00893DEA">
              <w:rPr>
                <w:noProof/>
                <w:webHidden/>
              </w:rPr>
              <w:fldChar w:fldCharType="begin"/>
            </w:r>
            <w:r w:rsidR="00893DEA">
              <w:rPr>
                <w:noProof/>
                <w:webHidden/>
              </w:rPr>
              <w:instrText xml:space="preserve"> PAGEREF _Toc121998687 \h </w:instrText>
            </w:r>
            <w:r w:rsidR="00893DEA">
              <w:rPr>
                <w:noProof/>
                <w:webHidden/>
              </w:rPr>
            </w:r>
            <w:r w:rsidR="00893DEA">
              <w:rPr>
                <w:noProof/>
                <w:webHidden/>
              </w:rPr>
              <w:fldChar w:fldCharType="separate"/>
            </w:r>
            <w:r w:rsidR="00F862E8">
              <w:rPr>
                <w:noProof/>
                <w:webHidden/>
              </w:rPr>
              <w:t>12</w:t>
            </w:r>
            <w:r w:rsidR="00893DEA">
              <w:rPr>
                <w:noProof/>
                <w:webHidden/>
              </w:rPr>
              <w:fldChar w:fldCharType="end"/>
            </w:r>
          </w:hyperlink>
        </w:p>
        <w:p w14:paraId="4C8A5AD3" w14:textId="6D8C47E3" w:rsidR="00E816AC" w:rsidRDefault="00901D91" w:rsidP="006E3860">
          <w:pPr>
            <w:pStyle w:val="Sommario1"/>
          </w:pPr>
          <w:r w:rsidRPr="00665BCB">
            <w:rPr>
              <w:rFonts w:eastAsiaTheme="majorEastAsia" w:cstheme="majorBidi"/>
              <w:sz w:val="36"/>
              <w:szCs w:val="32"/>
              <w:lang w:eastAsia="it-IT"/>
            </w:rPr>
            <w:fldChar w:fldCharType="end"/>
          </w:r>
        </w:p>
      </w:sdtContent>
    </w:sdt>
    <w:p w14:paraId="3EA4D69D" w14:textId="20C5B08B" w:rsidR="00A450F2" w:rsidRDefault="00A300CC" w:rsidP="006E3860">
      <w:pPr>
        <w:pStyle w:val="Titolo1"/>
        <w:numPr>
          <w:ilvl w:val="0"/>
          <w:numId w:val="4"/>
        </w:numPr>
        <w:ind w:left="426"/>
        <w:jc w:val="both"/>
      </w:pPr>
      <w:r>
        <w:br w:type="page"/>
      </w:r>
      <w:bookmarkStart w:id="7" w:name="_Toc121998677"/>
      <w:r w:rsidR="00A450F2">
        <w:lastRenderedPageBreak/>
        <w:t>Riferimenti normativi</w:t>
      </w:r>
      <w:r w:rsidR="00060AAB">
        <w:t xml:space="preserve"> e di prassi amministrativa</w:t>
      </w:r>
      <w:bookmarkEnd w:id="7"/>
    </w:p>
    <w:p w14:paraId="6E4F401A" w14:textId="4233CAA6" w:rsidR="00060AAB" w:rsidRPr="00060AAB" w:rsidRDefault="00060AAB" w:rsidP="00F45C37">
      <w:pPr>
        <w:spacing w:before="240"/>
        <w:jc w:val="both"/>
        <w:rPr>
          <w:b/>
          <w:bCs/>
          <w:i/>
          <w:iCs/>
          <w:u w:val="single"/>
        </w:rPr>
      </w:pPr>
      <w:r w:rsidRPr="00060AAB">
        <w:rPr>
          <w:b/>
          <w:bCs/>
          <w:i/>
          <w:iCs/>
          <w:u w:val="single"/>
        </w:rPr>
        <w:t>Disposizioni generali</w:t>
      </w:r>
    </w:p>
    <w:p w14:paraId="686B706B" w14:textId="77777777" w:rsidR="00A450F2" w:rsidRPr="005537E1" w:rsidRDefault="00A450F2" w:rsidP="00F45C37">
      <w:pPr>
        <w:spacing w:after="198" w:line="258" w:lineRule="auto"/>
        <w:jc w:val="both"/>
        <w:rPr>
          <w:rFonts w:cstheme="minorHAnsi"/>
        </w:rPr>
      </w:pPr>
      <w:r w:rsidRPr="00A450F2">
        <w:rPr>
          <w:rFonts w:eastAsia="Bookman Old Style" w:cstheme="minorHAnsi"/>
          <w:b/>
          <w:bCs/>
        </w:rPr>
        <w:t>Direttiva del Presidente del Consiglio dei Ministri del 27 gennaio 1994</w:t>
      </w:r>
      <w:r w:rsidRPr="005537E1">
        <w:rPr>
          <w:rFonts w:eastAsia="Bookman Old Style" w:cstheme="minorHAnsi"/>
        </w:rPr>
        <w:t>, “</w:t>
      </w:r>
      <w:r w:rsidRPr="005537E1">
        <w:rPr>
          <w:rFonts w:eastAsia="Bookman Old Style" w:cstheme="minorHAnsi"/>
          <w:i/>
        </w:rPr>
        <w:t>Principi sull’erogazione dei servizi pubblici</w:t>
      </w:r>
      <w:r w:rsidRPr="005537E1">
        <w:rPr>
          <w:rFonts w:eastAsia="Bookman Old Style" w:cstheme="minorHAnsi"/>
        </w:rPr>
        <w:t xml:space="preserve">”; all’art. 2 istituisce il Comitato permanente per la Carta dei servizi pubblici e prevede l’introduzione di standard di qualità. </w:t>
      </w:r>
    </w:p>
    <w:p w14:paraId="7CC496FA" w14:textId="77777777" w:rsidR="00A450F2" w:rsidRPr="005537E1" w:rsidRDefault="00A450F2" w:rsidP="00F45C37">
      <w:pPr>
        <w:spacing w:after="198" w:line="258" w:lineRule="auto"/>
        <w:jc w:val="both"/>
        <w:rPr>
          <w:rFonts w:cstheme="minorHAnsi"/>
        </w:rPr>
      </w:pPr>
      <w:r w:rsidRPr="00A450F2">
        <w:rPr>
          <w:rFonts w:eastAsia="Bookman Old Style" w:cstheme="minorHAnsi"/>
          <w:b/>
          <w:bCs/>
        </w:rPr>
        <w:t>Decreto-legge 12 maggio 1995, n. 163</w:t>
      </w:r>
      <w:r w:rsidRPr="005537E1">
        <w:rPr>
          <w:rFonts w:eastAsia="Bookman Old Style" w:cstheme="minorHAnsi"/>
        </w:rPr>
        <w:t xml:space="preserve"> “</w:t>
      </w:r>
      <w:r w:rsidRPr="005537E1">
        <w:rPr>
          <w:rFonts w:eastAsia="Bookman Old Style" w:cstheme="minorHAnsi"/>
          <w:i/>
        </w:rPr>
        <w:t>Misure urgenti per la semplificazione dei procedimenti amministrativi e per il miglioramento dell’efficienza delle pubbliche amministrazioni</w:t>
      </w:r>
      <w:r w:rsidRPr="005537E1">
        <w:rPr>
          <w:rFonts w:eastAsia="Bookman Old Style" w:cstheme="minorHAnsi"/>
        </w:rPr>
        <w:t xml:space="preserve">”, convertito con modificazioni dalla L. 11 luglio 1995, n. 273; all’art. 2 dispone l’emanazione di schemi generali di riferimento di carte di servizi pubblici tramite decreti del Presidente del Consiglio dei Ministri e l’adozione di tali schemi da parte delle pubbliche amministrazioni entro 120 giorni dalla stessa pubblicazione. </w:t>
      </w:r>
    </w:p>
    <w:p w14:paraId="7DF3AF9D" w14:textId="1BFE0924" w:rsidR="00A450F2" w:rsidRPr="005537E1" w:rsidRDefault="00A450F2" w:rsidP="00F45C37">
      <w:pPr>
        <w:spacing w:after="199" w:line="256" w:lineRule="auto"/>
        <w:jc w:val="both"/>
        <w:rPr>
          <w:rFonts w:cstheme="minorHAnsi"/>
        </w:rPr>
      </w:pPr>
      <w:r w:rsidRPr="00A450F2">
        <w:rPr>
          <w:rFonts w:eastAsia="Bookman Old Style" w:cstheme="minorHAnsi"/>
          <w:b/>
          <w:bCs/>
        </w:rPr>
        <w:t>Legge 24 dicembre 2007, n. 244</w:t>
      </w:r>
      <w:r w:rsidRPr="005537E1">
        <w:rPr>
          <w:rFonts w:eastAsia="Bookman Old Style" w:cstheme="minorHAnsi"/>
        </w:rPr>
        <w:t xml:space="preserve"> “</w:t>
      </w:r>
      <w:r w:rsidRPr="005537E1">
        <w:rPr>
          <w:rFonts w:eastAsia="Bookman Old Style" w:cstheme="minorHAnsi"/>
          <w:i/>
        </w:rPr>
        <w:t>Disposizioni per la formazione del bilancio annuale e pluriennale dello Stato</w:t>
      </w:r>
      <w:r w:rsidRPr="005537E1">
        <w:rPr>
          <w:rFonts w:eastAsia="Bookman Old Style" w:cstheme="minorHAnsi"/>
        </w:rPr>
        <w:t xml:space="preserve"> (legge finanziaria 2008)”; in particolare, </w:t>
      </w:r>
      <w:r w:rsidRPr="00475724">
        <w:rPr>
          <w:rFonts w:eastAsia="Bookman Old Style" w:cstheme="minorHAnsi"/>
        </w:rPr>
        <w:t xml:space="preserve">all’art. </w:t>
      </w:r>
      <w:r w:rsidR="006F1192" w:rsidRPr="00475724">
        <w:rPr>
          <w:rFonts w:eastAsia="Bookman Old Style" w:cstheme="minorHAnsi"/>
        </w:rPr>
        <w:t>2</w:t>
      </w:r>
      <w:r w:rsidRPr="00475724">
        <w:rPr>
          <w:rFonts w:eastAsia="Bookman Old Style" w:cstheme="minorHAnsi"/>
        </w:rPr>
        <w:t>, comma 461,</w:t>
      </w:r>
      <w:r w:rsidRPr="005537E1">
        <w:rPr>
          <w:rFonts w:eastAsia="Bookman Old Style" w:cstheme="minorHAnsi"/>
        </w:rPr>
        <w:t xml:space="preserve"> si prevede l’obbligo per il soggetto gestore di redigere e pubblicare la Carta dei Servizi in conformità a intese con le associazioni di tutela dei consumatori e con le associazioni imprenditoriali interessate, recante gli standard di qualità e di quantità relativi alle prestazioni erogate così come determinati nel Contratto di Servizio, nonché le modalità di accesso alle informazioni garantite, quelle per proporre reclamo e quelle per adire le vie conciliative e giudiziarie, nonché le modalità di ristoro dell’utenza. </w:t>
      </w:r>
    </w:p>
    <w:p w14:paraId="3DADAD5C" w14:textId="77777777" w:rsidR="00A450F2" w:rsidRPr="005537E1" w:rsidRDefault="00A450F2" w:rsidP="00F45C37">
      <w:pPr>
        <w:spacing w:after="199" w:line="256" w:lineRule="auto"/>
        <w:jc w:val="both"/>
        <w:rPr>
          <w:rFonts w:cstheme="minorHAnsi"/>
        </w:rPr>
      </w:pPr>
      <w:r w:rsidRPr="00A450F2">
        <w:rPr>
          <w:rFonts w:eastAsia="Bookman Old Style" w:cstheme="minorHAnsi"/>
          <w:b/>
          <w:bCs/>
        </w:rPr>
        <w:t>Decreto legislativo 14 marzo 2013, n. 33</w:t>
      </w:r>
      <w:r w:rsidRPr="005537E1">
        <w:rPr>
          <w:rFonts w:eastAsia="Bookman Old Style" w:cstheme="minorHAnsi"/>
        </w:rPr>
        <w:t xml:space="preserve"> sul Riordino della disciplina riguardante il diritto di accesso civico e gli obblighi di pubblicità, trasparenza e diffusione di informazioni da parte delle pubbliche amministrazioni. </w:t>
      </w:r>
    </w:p>
    <w:p w14:paraId="1461FFEB" w14:textId="61E440B5" w:rsidR="00060AAB" w:rsidRPr="00060AAB" w:rsidRDefault="00060AAB" w:rsidP="00F45C37">
      <w:pPr>
        <w:spacing w:before="240"/>
        <w:jc w:val="both"/>
        <w:rPr>
          <w:b/>
          <w:bCs/>
          <w:i/>
          <w:iCs/>
          <w:u w:val="single"/>
        </w:rPr>
      </w:pPr>
      <w:r w:rsidRPr="00060AAB">
        <w:rPr>
          <w:b/>
          <w:bCs/>
          <w:i/>
          <w:iCs/>
          <w:u w:val="single"/>
        </w:rPr>
        <w:t xml:space="preserve">Disposizioni </w:t>
      </w:r>
      <w:r>
        <w:rPr>
          <w:b/>
          <w:bCs/>
          <w:i/>
          <w:iCs/>
          <w:u w:val="single"/>
        </w:rPr>
        <w:t>relative alla Regolazione del Servizio di Igiene Urbana</w:t>
      </w:r>
    </w:p>
    <w:p w14:paraId="08E13934" w14:textId="77777777" w:rsidR="00060AAB" w:rsidRPr="00060AAB" w:rsidRDefault="00060AAB" w:rsidP="00F45C37">
      <w:pPr>
        <w:spacing w:after="199" w:line="256" w:lineRule="auto"/>
        <w:jc w:val="both"/>
        <w:rPr>
          <w:rFonts w:cstheme="minorHAnsi"/>
        </w:rPr>
      </w:pPr>
      <w:r w:rsidRPr="00060AAB">
        <w:rPr>
          <w:rFonts w:eastAsia="Bookman Old Style" w:cstheme="minorHAnsi"/>
          <w:b/>
          <w:bCs/>
        </w:rPr>
        <w:t>Legge 14 novembre 1995, n.481</w:t>
      </w:r>
      <w:r w:rsidRPr="00060AAB">
        <w:rPr>
          <w:rFonts w:eastAsia="Bookman Old Style" w:cstheme="minorHAnsi"/>
        </w:rPr>
        <w:t xml:space="preserve">; affida ad ARERA il compito - tra gli altri - di promuovere la tutela degli interessi di utenti e consumatori, tenuto conto della normativa comunitaria in materia e degli indirizzi di politica generale formulati dal Governo, nonché di contemperare, nella definizione del sistema tariffario, gli obiettivi economico-finanziari dei soggetti esercenti il servizio con gli obiettivi generali di carattere sociale. </w:t>
      </w:r>
    </w:p>
    <w:p w14:paraId="42063C03" w14:textId="77777777" w:rsidR="00060AAB" w:rsidRDefault="00060AAB" w:rsidP="00F45C37">
      <w:pPr>
        <w:spacing w:after="198" w:line="258" w:lineRule="auto"/>
        <w:jc w:val="both"/>
        <w:rPr>
          <w:rFonts w:eastAsia="Bookman Old Style" w:cstheme="minorHAnsi"/>
        </w:rPr>
      </w:pPr>
      <w:r w:rsidRPr="00060AAB">
        <w:rPr>
          <w:rFonts w:eastAsia="Bookman Old Style" w:cstheme="minorHAnsi"/>
          <w:b/>
          <w:bCs/>
        </w:rPr>
        <w:t>Legge 27 dicembre 2017, n. 205</w:t>
      </w:r>
      <w:r w:rsidRPr="00060AAB">
        <w:rPr>
          <w:rFonts w:eastAsia="Bookman Old Style" w:cstheme="minorHAnsi"/>
        </w:rPr>
        <w:t xml:space="preserve"> “</w:t>
      </w:r>
      <w:r w:rsidRPr="00060AAB">
        <w:rPr>
          <w:rFonts w:eastAsia="Bookman Old Style" w:cstheme="minorHAnsi"/>
          <w:i/>
        </w:rPr>
        <w:t>Bilancio di previsione dello Stato per l’anno finanziario 2018 e bilancio pluriennale per il triennio 2018-2020</w:t>
      </w:r>
      <w:r w:rsidRPr="00060AAB">
        <w:rPr>
          <w:rFonts w:eastAsia="Bookman Old Style" w:cstheme="minorHAnsi"/>
        </w:rPr>
        <w:t>”; ha assegnato ad ARERA funzioni di regolazione e controllo in materia di rifiuti urbani, precisando che tali funzioni sono attribuite “</w:t>
      </w:r>
      <w:r w:rsidRPr="00060AAB">
        <w:rPr>
          <w:rFonts w:eastAsia="Bookman Old Style" w:cstheme="minorHAnsi"/>
          <w:i/>
        </w:rPr>
        <w:t>con i medesimi poteri e nel quadro dei principi, delle finalità e delle attribuzioni, anche di natura sanzionatoria, stabiliti dalla legge 481/95</w:t>
      </w:r>
      <w:r w:rsidRPr="00060AAB">
        <w:rPr>
          <w:rFonts w:eastAsia="Bookman Old Style" w:cstheme="minorHAnsi"/>
        </w:rPr>
        <w:t>”.</w:t>
      </w:r>
      <w:r w:rsidRPr="005537E1">
        <w:rPr>
          <w:rFonts w:eastAsia="Bookman Old Style" w:cstheme="minorHAnsi"/>
        </w:rPr>
        <w:t xml:space="preserve"> </w:t>
      </w:r>
    </w:p>
    <w:p w14:paraId="1D93AFFA" w14:textId="7BE98A97" w:rsidR="00A450F2" w:rsidRDefault="00A450F2" w:rsidP="00F45C37">
      <w:pPr>
        <w:spacing w:after="158" w:line="256" w:lineRule="auto"/>
        <w:jc w:val="both"/>
        <w:rPr>
          <w:rFonts w:eastAsia="Bookman Old Style" w:cstheme="minorHAnsi"/>
        </w:rPr>
      </w:pPr>
      <w:r w:rsidRPr="00A450F2">
        <w:rPr>
          <w:rFonts w:eastAsia="Bookman Old Style" w:cstheme="minorHAnsi"/>
          <w:b/>
          <w:bCs/>
        </w:rPr>
        <w:t>Delibera ARERA 18 gennaio 2022 n.15/2022/R/rif</w:t>
      </w:r>
      <w:r w:rsidRPr="005537E1">
        <w:rPr>
          <w:rFonts w:eastAsia="Bookman Old Style" w:cstheme="minorHAnsi"/>
        </w:rPr>
        <w:t xml:space="preserve"> sulla Regolazione della qualità del servizio di gestione dei rifiuti urbani</w:t>
      </w:r>
      <w:r w:rsidR="00060AAB">
        <w:rPr>
          <w:rFonts w:eastAsia="Bookman Old Style" w:cstheme="minorHAnsi"/>
        </w:rPr>
        <w:t xml:space="preserve"> e relativo Allegato (TQRIF)</w:t>
      </w:r>
      <w:r w:rsidRPr="005537E1">
        <w:rPr>
          <w:rFonts w:eastAsia="Bookman Old Style" w:cstheme="minorHAnsi"/>
        </w:rPr>
        <w:t xml:space="preserve">. </w:t>
      </w:r>
    </w:p>
    <w:p w14:paraId="6ABBB87D" w14:textId="40D53CC0" w:rsidR="00060AAB" w:rsidRPr="00060AAB" w:rsidRDefault="00060AAB" w:rsidP="00F45C37">
      <w:pPr>
        <w:spacing w:before="240"/>
        <w:jc w:val="both"/>
        <w:rPr>
          <w:b/>
          <w:bCs/>
          <w:i/>
          <w:iCs/>
          <w:u w:val="single"/>
        </w:rPr>
      </w:pPr>
      <w:r w:rsidRPr="00060AAB">
        <w:rPr>
          <w:b/>
          <w:bCs/>
          <w:i/>
          <w:iCs/>
          <w:u w:val="single"/>
        </w:rPr>
        <w:t xml:space="preserve">Disposizioni </w:t>
      </w:r>
      <w:r>
        <w:rPr>
          <w:b/>
          <w:bCs/>
          <w:i/>
          <w:iCs/>
          <w:u w:val="single"/>
        </w:rPr>
        <w:t>comunali specifiche</w:t>
      </w:r>
    </w:p>
    <w:p w14:paraId="7C6642F0" w14:textId="300E8784" w:rsidR="00392EB0" w:rsidRDefault="00392EB0" w:rsidP="00392EB0">
      <w:r w:rsidRPr="00F362A9">
        <w:t xml:space="preserve">Per prendere visione del </w:t>
      </w:r>
      <w:r w:rsidRPr="00392EB0">
        <w:rPr>
          <w:b/>
          <w:bCs/>
        </w:rPr>
        <w:t>Regolamento TARI</w:t>
      </w:r>
      <w:r w:rsidRPr="00F362A9">
        <w:t xml:space="preserve"> e della </w:t>
      </w:r>
      <w:r w:rsidRPr="00392EB0">
        <w:rPr>
          <w:b/>
          <w:bCs/>
        </w:rPr>
        <w:t>Delibera di approvazione delle tariffe</w:t>
      </w:r>
      <w:r w:rsidRPr="00F362A9">
        <w:t xml:space="preserve"> vigenti, consultare il Portale di Trasparenza per la Gestione Rifiuti, a</w:t>
      </w:r>
      <w:r w:rsidR="003C3862">
        <w:t>i</w:t>
      </w:r>
      <w:r w:rsidRPr="00F362A9">
        <w:t xml:space="preserve"> seguent</w:t>
      </w:r>
      <w:r w:rsidR="003C3862">
        <w:t>i</w:t>
      </w:r>
      <w:r w:rsidRPr="00F362A9">
        <w:t xml:space="preserve"> link</w:t>
      </w:r>
      <w:r w:rsidR="003C3862">
        <w:t xml:space="preserve">: </w:t>
      </w:r>
    </w:p>
    <w:p w14:paraId="5C23F2D5" w14:textId="77777777" w:rsidR="003C3862" w:rsidRDefault="003C3862" w:rsidP="003C3862">
      <w:pPr>
        <w:spacing w:after="160"/>
        <w:rPr>
          <w:kern w:val="2"/>
          <w:sz w:val="22"/>
          <w14:ligatures w14:val="standardContextual"/>
        </w:rPr>
      </w:pPr>
    </w:p>
    <w:p w14:paraId="5D80CD9C" w14:textId="194DE3AC" w:rsidR="003C3862" w:rsidRDefault="003C3862" w:rsidP="003C3862">
      <w:pPr>
        <w:spacing w:after="160"/>
        <w:rPr>
          <w:b/>
          <w:bCs/>
          <w:kern w:val="2"/>
          <w:sz w:val="22"/>
          <w:u w:val="single"/>
          <w14:ligatures w14:val="standardContextual"/>
        </w:rPr>
      </w:pPr>
      <w:r w:rsidRPr="003C3862">
        <w:rPr>
          <w:b/>
          <w:bCs/>
          <w:kern w:val="2"/>
          <w:sz w:val="22"/>
          <w:u w:val="single"/>
          <w14:ligatures w14:val="standardContextual"/>
        </w:rPr>
        <w:lastRenderedPageBreak/>
        <w:t xml:space="preserve">REGOLAMENTO TARI: </w:t>
      </w:r>
    </w:p>
    <w:p w14:paraId="39C0E0FD" w14:textId="0F3FE6E3" w:rsidR="00125ABD" w:rsidRPr="003C3862" w:rsidRDefault="00093A63" w:rsidP="003C3862">
      <w:pPr>
        <w:spacing w:after="160"/>
        <w:rPr>
          <w:b/>
          <w:bCs/>
          <w:kern w:val="2"/>
          <w:sz w:val="22"/>
          <w:u w:val="single"/>
          <w14:ligatures w14:val="standardContextual"/>
        </w:rPr>
      </w:pPr>
      <w:hyperlink r:id="rId9" w:history="1">
        <w:r w:rsidR="00125ABD" w:rsidRPr="00125ABD">
          <w:rPr>
            <w:color w:val="0000FF"/>
            <w:u w:val="single"/>
          </w:rPr>
          <w:t>Trasparenza Rifiuti - Comune di Robbio</w:t>
        </w:r>
      </w:hyperlink>
    </w:p>
    <w:p w14:paraId="104EA6A7" w14:textId="77777777" w:rsidR="00F34CAF" w:rsidRDefault="003C3862" w:rsidP="003C3862">
      <w:pPr>
        <w:rPr>
          <w:b/>
          <w:bCs/>
          <w:kern w:val="2"/>
          <w:sz w:val="22"/>
          <w:u w:val="single"/>
          <w14:ligatures w14:val="standardContextual"/>
        </w:rPr>
      </w:pPr>
      <w:r w:rsidRPr="003C3862">
        <w:rPr>
          <w:b/>
          <w:bCs/>
          <w:kern w:val="2"/>
          <w:sz w:val="22"/>
          <w:u w:val="single"/>
          <w14:ligatures w14:val="standardContextual"/>
        </w:rPr>
        <w:t>DELIBERA TARIFFE TARI:</w:t>
      </w:r>
    </w:p>
    <w:p w14:paraId="0727FCE6" w14:textId="0BD51EBD" w:rsidR="003C3862" w:rsidRPr="003C3862" w:rsidRDefault="00786F50" w:rsidP="003C3862">
      <w:pPr>
        <w:rPr>
          <w:kern w:val="2"/>
          <w:sz w:val="22"/>
          <w14:ligatures w14:val="standardContextual"/>
        </w:rPr>
      </w:pPr>
      <w:r>
        <w:rPr>
          <w:kern w:val="2"/>
          <w:sz w:val="22"/>
          <w14:ligatures w14:val="standardContextual"/>
        </w:rPr>
        <w:t xml:space="preserve"> </w:t>
      </w:r>
      <w:r w:rsidR="003C3862" w:rsidRPr="003C3862">
        <w:rPr>
          <w:kern w:val="2"/>
          <w:sz w:val="22"/>
          <w14:ligatures w14:val="standardContextual"/>
        </w:rPr>
        <w:t xml:space="preserve"> </w:t>
      </w:r>
      <w:hyperlink r:id="rId10" w:history="1">
        <w:r w:rsidR="00125ABD" w:rsidRPr="00125ABD">
          <w:rPr>
            <w:color w:val="0000FF"/>
            <w:u w:val="single"/>
          </w:rPr>
          <w:t>Trasparenza Rifiuti - Comune di Robbio</w:t>
        </w:r>
      </w:hyperlink>
    </w:p>
    <w:p w14:paraId="437A5EDF" w14:textId="6A27BBCE" w:rsidR="00A300CC" w:rsidRDefault="00A300CC" w:rsidP="006E3860">
      <w:pPr>
        <w:pStyle w:val="Titolo1"/>
        <w:numPr>
          <w:ilvl w:val="0"/>
          <w:numId w:val="4"/>
        </w:numPr>
        <w:ind w:left="426"/>
        <w:jc w:val="both"/>
      </w:pPr>
      <w:bookmarkStart w:id="8" w:name="_Toc121998678"/>
      <w:bookmarkStart w:id="9" w:name="_Hlk117089172"/>
      <w:r>
        <w:t>Cos’è la Carta della qualità del servizio</w:t>
      </w:r>
      <w:r w:rsidR="00214079">
        <w:t xml:space="preserve"> e quali sono i suoi obiettivi</w:t>
      </w:r>
      <w:bookmarkEnd w:id="8"/>
    </w:p>
    <w:p w14:paraId="25AA82DE" w14:textId="1E01F8BF" w:rsidR="00A300CC" w:rsidRDefault="00A300CC" w:rsidP="00F45C37">
      <w:pPr>
        <w:jc w:val="both"/>
      </w:pPr>
    </w:p>
    <w:bookmarkEnd w:id="9"/>
    <w:p w14:paraId="2E88B04B" w14:textId="77777777" w:rsidR="00015FCF" w:rsidRPr="00FB4EFB" w:rsidRDefault="00015FCF" w:rsidP="00015FCF">
      <w:pPr>
        <w:spacing w:line="276" w:lineRule="auto"/>
        <w:jc w:val="both"/>
      </w:pPr>
      <w:r w:rsidRPr="00FB4EFB">
        <w:t xml:space="preserve">La Carta di qualità del Servizio è uno strumento volto a racchiudere in un unico documento tutte le informazioni inerenti al servizio di Gestione tariffe e rapporti con gli utenti, nel più ampio </w:t>
      </w:r>
      <w:r>
        <w:t xml:space="preserve">ambito </w:t>
      </w:r>
      <w:r w:rsidRPr="00FB4EFB">
        <w:t xml:space="preserve">del Servizio di gestione dei rifiuti urbani. </w:t>
      </w:r>
    </w:p>
    <w:p w14:paraId="4CDFEF55" w14:textId="56AC4ED2" w:rsidR="00015FCF" w:rsidRPr="00FB4EFB" w:rsidRDefault="00015FCF" w:rsidP="00015FC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Cs w:val="24"/>
        </w:rPr>
      </w:pPr>
      <w:r w:rsidRPr="00FB4EFB">
        <w:rPr>
          <w:rFonts w:cstheme="minorHAnsi"/>
          <w:szCs w:val="24"/>
        </w:rPr>
        <w:t xml:space="preserve">Essa fissa principi per l'erogazione del servizio, stabilisce </w:t>
      </w:r>
      <w:r w:rsidRPr="00FB4EFB">
        <w:rPr>
          <w:rFonts w:cstheme="minorHAnsi"/>
          <w:i/>
          <w:iCs/>
          <w:szCs w:val="24"/>
        </w:rPr>
        <w:t>standard generali</w:t>
      </w:r>
      <w:r w:rsidRPr="00FB4EFB">
        <w:rPr>
          <w:rFonts w:cstheme="minorHAnsi"/>
          <w:szCs w:val="24"/>
        </w:rPr>
        <w:t xml:space="preserve"> riferibili alla qualità complessiva delle prestazioni e </w:t>
      </w:r>
      <w:r w:rsidRPr="00FB4EFB">
        <w:rPr>
          <w:rFonts w:cstheme="minorHAnsi"/>
          <w:i/>
          <w:iCs/>
          <w:szCs w:val="24"/>
        </w:rPr>
        <w:t>standard specifici</w:t>
      </w:r>
      <w:r w:rsidRPr="00FB4EFB">
        <w:rPr>
          <w:rFonts w:cstheme="minorHAnsi"/>
          <w:szCs w:val="24"/>
        </w:rPr>
        <w:t xml:space="preserve"> che indicano prestazioni direttamente controllabili </w:t>
      </w:r>
      <w:r>
        <w:rPr>
          <w:rFonts w:cstheme="minorHAnsi"/>
          <w:szCs w:val="24"/>
        </w:rPr>
        <w:t>dagli utenti</w:t>
      </w:r>
      <w:r w:rsidRPr="00FB4EFB">
        <w:rPr>
          <w:rFonts w:cstheme="minorHAnsi"/>
          <w:szCs w:val="24"/>
        </w:rPr>
        <w:t xml:space="preserve">. La Carta è pertanto un impegno scritto assunto dal Comune nei confronti dei cittadini, orientato a rendere i pubblici servizi meglio rispondenti alle esigenze effettive </w:t>
      </w:r>
      <w:r>
        <w:rPr>
          <w:rFonts w:cstheme="minorHAnsi"/>
          <w:szCs w:val="24"/>
        </w:rPr>
        <w:t xml:space="preserve">degli utenti </w:t>
      </w:r>
      <w:r w:rsidRPr="00FB4EFB">
        <w:rPr>
          <w:rFonts w:cstheme="minorHAnsi"/>
          <w:szCs w:val="24"/>
        </w:rPr>
        <w:t xml:space="preserve">e a migliorarne la qualità complessiva. </w:t>
      </w:r>
    </w:p>
    <w:p w14:paraId="45ED71A9" w14:textId="395B29E8" w:rsidR="00015FCF" w:rsidRPr="00FB4EFB" w:rsidRDefault="00015FCF" w:rsidP="00015FC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Cs w:val="24"/>
        </w:rPr>
      </w:pPr>
      <w:r w:rsidRPr="00FB4EFB">
        <w:t>Per sua stessa natura la Carta è caratterizzata da un linguaggio di facile accesso e comprensibilità e nella stessa trovano spazio sia le indicazioni necessarie al cittadino</w:t>
      </w:r>
      <w:r w:rsidR="00C40F9E">
        <w:t xml:space="preserve">. </w:t>
      </w:r>
      <w:r w:rsidRPr="00FB4EFB">
        <w:t>La Carta intende</w:t>
      </w:r>
      <w:r w:rsidR="00C40F9E">
        <w:t xml:space="preserve"> infatti</w:t>
      </w:r>
      <w:r w:rsidRPr="00FB4EFB">
        <w:t xml:space="preserve"> guidare il contribuente informandolo sui servizi forniti dall’Ufficio Tributi nell’ambito della Gestione della Tassa sui Rifiuti (TARI) e fornendo gli elementi necessari per verificare in che misura vengono rispettati gli impegni che il Comune assume nei suoi confronti, garantendo i livelli di qualità dichiarati negli standard per rispondere sempre meglio alle aspettative dei contribuenti e perseguire il continuo miglioramento dei servizi resi</w:t>
      </w:r>
      <w:r>
        <w:t>.</w:t>
      </w:r>
    </w:p>
    <w:p w14:paraId="412E3BCF" w14:textId="56B7540A" w:rsidR="00015FCF" w:rsidRPr="00FB788F" w:rsidRDefault="00015FCF" w:rsidP="00015FCF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FB788F">
        <w:rPr>
          <w:rFonts w:cstheme="minorHAnsi"/>
        </w:rPr>
        <w:t xml:space="preserve">La Carta ha validità pluriennale ed è soggetta a revisione del contenuto, sulle modalità di erogazione dei servizi e sui relativi standard di qualità. </w:t>
      </w:r>
      <w:bookmarkStart w:id="10" w:name="_Hlk121482848"/>
      <w:bookmarkStart w:id="11" w:name="_Hlk121481687"/>
      <w:r w:rsidR="000C48D5" w:rsidRPr="00FB788F">
        <w:rPr>
          <w:rFonts w:cstheme="minorHAnsi"/>
        </w:rPr>
        <w:t xml:space="preserve">L’attività di Gestione delle Tariffe è disciplinata altresì dal Regolamento della Tassa Rifiuti ed al fine di evitare duplicazioni per tutto quanto non indicato all’interno del presente documento i contribuenti potranno fare riferimento a tale </w:t>
      </w:r>
      <w:r w:rsidR="00256EBB" w:rsidRPr="00FB788F">
        <w:rPr>
          <w:rFonts w:cstheme="minorHAnsi"/>
        </w:rPr>
        <w:t>atto</w:t>
      </w:r>
      <w:r w:rsidR="000C48D5" w:rsidRPr="00FB788F">
        <w:rPr>
          <w:rFonts w:cstheme="minorHAnsi"/>
        </w:rPr>
        <w:t xml:space="preserve"> che </w:t>
      </w:r>
      <w:r w:rsidR="00256EBB" w:rsidRPr="00FB788F">
        <w:rPr>
          <w:rFonts w:cstheme="minorHAnsi"/>
        </w:rPr>
        <w:t>regola</w:t>
      </w:r>
      <w:r w:rsidR="000C48D5" w:rsidRPr="00FB788F">
        <w:rPr>
          <w:rFonts w:cstheme="minorHAnsi"/>
        </w:rPr>
        <w:t xml:space="preserve"> alcuni elementi propri connessi al servizio tra cui l’apertura/attivazione dell’utenza, le modalità per comunicare eventuali variazioni o la cessazione del servizio, la periodicità </w:t>
      </w:r>
      <w:r w:rsidR="00256EBB" w:rsidRPr="00FB788F">
        <w:rPr>
          <w:rFonts w:cstheme="minorHAnsi"/>
        </w:rPr>
        <w:t xml:space="preserve">e le modalità </w:t>
      </w:r>
      <w:r w:rsidR="000C48D5" w:rsidRPr="00FB788F">
        <w:rPr>
          <w:rFonts w:cstheme="minorHAnsi"/>
        </w:rPr>
        <w:t>dei pagamenti</w:t>
      </w:r>
      <w:r w:rsidR="00256EBB" w:rsidRPr="00FB788F">
        <w:rPr>
          <w:rFonts w:cstheme="minorHAnsi"/>
        </w:rPr>
        <w:t>, le riduzioni tariffarie e la rateizzazione degli importi addebitati</w:t>
      </w:r>
      <w:r w:rsidR="000C48D5" w:rsidRPr="00FB788F">
        <w:rPr>
          <w:rFonts w:cstheme="minorHAnsi"/>
        </w:rPr>
        <w:t>.</w:t>
      </w:r>
      <w:bookmarkEnd w:id="10"/>
    </w:p>
    <w:bookmarkEnd w:id="11"/>
    <w:p w14:paraId="0D03FE93" w14:textId="77777777" w:rsidR="00015FCF" w:rsidRDefault="00015FCF" w:rsidP="005671D5">
      <w:pPr>
        <w:spacing w:line="276" w:lineRule="auto"/>
        <w:jc w:val="both"/>
      </w:pPr>
    </w:p>
    <w:p w14:paraId="36CC64E6" w14:textId="77777777" w:rsidR="00DF6DAE" w:rsidRDefault="00DF6DAE" w:rsidP="006E3860">
      <w:pPr>
        <w:pStyle w:val="Titolo1"/>
        <w:numPr>
          <w:ilvl w:val="0"/>
          <w:numId w:val="4"/>
        </w:numPr>
        <w:ind w:left="426" w:hanging="349"/>
        <w:jc w:val="both"/>
      </w:pPr>
      <w:bookmarkStart w:id="12" w:name="_Toc121998679"/>
      <w:r>
        <w:t>Territorio di riferimento</w:t>
      </w:r>
      <w:bookmarkEnd w:id="12"/>
    </w:p>
    <w:p w14:paraId="5A4794E9" w14:textId="77777777" w:rsidR="00DF6DAE" w:rsidRDefault="00DF6DAE" w:rsidP="00DF6DAE">
      <w:pPr>
        <w:jc w:val="both"/>
      </w:pPr>
    </w:p>
    <w:p w14:paraId="4485C781" w14:textId="690617B0" w:rsidR="00CE2AFF" w:rsidRDefault="00DF6DAE" w:rsidP="00DF6DAE">
      <w:pPr>
        <w:jc w:val="both"/>
      </w:pPr>
      <w:r w:rsidRPr="002C161D">
        <w:t xml:space="preserve">La presente Carta di Qualità del Servizio ha validità per tutto il territorio del Comune di </w:t>
      </w:r>
      <w:r w:rsidR="001E5C97">
        <w:t>Robbio</w:t>
      </w:r>
      <w:r w:rsidR="008A177C" w:rsidRPr="002C161D">
        <w:t xml:space="preserve"> che si estende per </w:t>
      </w:r>
      <w:r w:rsidR="007671F7">
        <w:t>40,50</w:t>
      </w:r>
      <w:r w:rsidR="001E5C97">
        <w:t xml:space="preserve"> </w:t>
      </w:r>
      <w:r w:rsidR="008A177C" w:rsidRPr="007671F7">
        <w:t>kmq</w:t>
      </w:r>
      <w:r w:rsidR="008A177C" w:rsidRPr="002C161D">
        <w:t xml:space="preserve"> e conta una popolazione pari </w:t>
      </w:r>
      <w:r w:rsidR="008A177C" w:rsidRPr="00C74C75">
        <w:t xml:space="preserve">a </w:t>
      </w:r>
      <w:r w:rsidR="00C74C75" w:rsidRPr="00C74C75">
        <w:t>5.742</w:t>
      </w:r>
      <w:r w:rsidR="00B53876" w:rsidRPr="00C74C75">
        <w:t xml:space="preserve"> </w:t>
      </w:r>
      <w:r w:rsidR="008A177C" w:rsidRPr="00C74C75">
        <w:t>abitanti</w:t>
      </w:r>
      <w:r w:rsidR="008A177C" w:rsidRPr="002C161D">
        <w:t xml:space="preserve"> (dato al 1° gennaio </w:t>
      </w:r>
      <w:r w:rsidR="00374956" w:rsidRPr="002C161D">
        <w:t>2022</w:t>
      </w:r>
      <w:r w:rsidR="008A177C" w:rsidRPr="002C161D">
        <w:t xml:space="preserve">). </w:t>
      </w:r>
    </w:p>
    <w:p w14:paraId="072881D2" w14:textId="4622EA5D" w:rsidR="00DF6DAE" w:rsidRPr="008A177C" w:rsidRDefault="008A177C" w:rsidP="00DF6DAE">
      <w:pPr>
        <w:jc w:val="both"/>
        <w:rPr>
          <w:color w:val="FF0000"/>
        </w:rPr>
      </w:pPr>
      <w:r w:rsidRPr="002C161D">
        <w:t xml:space="preserve">Il numero di contribuenti totali a cui si rivolge il servizio è di circa </w:t>
      </w:r>
      <w:r w:rsidR="001E5C97">
        <w:t>2974</w:t>
      </w:r>
      <w:r w:rsidRPr="002C161D">
        <w:t xml:space="preserve"> unità.</w:t>
      </w:r>
    </w:p>
    <w:p w14:paraId="643C74BA" w14:textId="5D8A710F" w:rsidR="00214079" w:rsidRDefault="00214079" w:rsidP="006E3860">
      <w:pPr>
        <w:pStyle w:val="Titolo1"/>
        <w:numPr>
          <w:ilvl w:val="0"/>
          <w:numId w:val="4"/>
        </w:numPr>
        <w:ind w:left="426"/>
        <w:jc w:val="both"/>
      </w:pPr>
      <w:r>
        <w:br w:type="page"/>
      </w:r>
      <w:bookmarkStart w:id="13" w:name="_Toc121998680"/>
      <w:r w:rsidR="0003062D">
        <w:lastRenderedPageBreak/>
        <w:t>Principi di erogazione del servizio</w:t>
      </w:r>
      <w:bookmarkEnd w:id="13"/>
      <w:r w:rsidR="0003062D">
        <w:t xml:space="preserve"> </w:t>
      </w:r>
    </w:p>
    <w:p w14:paraId="0303BDAF" w14:textId="3B24F230" w:rsidR="0003062D" w:rsidRDefault="0003062D" w:rsidP="00F45C37">
      <w:pPr>
        <w:jc w:val="both"/>
      </w:pPr>
    </w:p>
    <w:p w14:paraId="2BDEB902" w14:textId="45E6E347" w:rsidR="00960BF6" w:rsidRDefault="00960BF6" w:rsidP="00960BF6">
      <w:pPr>
        <w:jc w:val="both"/>
      </w:pPr>
      <w:r w:rsidRPr="00C51970">
        <w:t>Con la Carta della qualità de</w:t>
      </w:r>
      <w:r w:rsidR="00C51970" w:rsidRPr="00C51970">
        <w:t>l</w:t>
      </w:r>
      <w:r w:rsidRPr="00C51970">
        <w:t xml:space="preserve"> servizi</w:t>
      </w:r>
      <w:r w:rsidR="00C51970" w:rsidRPr="00C51970">
        <w:t>o di Gestione delle Tariffe e Rapporto con gli Utenti</w:t>
      </w:r>
      <w:r w:rsidRPr="00C51970">
        <w:t xml:space="preserve">, il Comune di </w:t>
      </w:r>
      <w:r w:rsidR="001E5C97">
        <w:t>Robbio</w:t>
      </w:r>
      <w:r w:rsidR="00374956">
        <w:t xml:space="preserve"> </w:t>
      </w:r>
      <w:r w:rsidRPr="00C51970">
        <w:t>si impegna a rispettare i seguenti principi generali:</w:t>
      </w:r>
    </w:p>
    <w:p w14:paraId="62C8032C" w14:textId="4575F5B9" w:rsidR="0003062D" w:rsidRDefault="0003062D" w:rsidP="00F45C37">
      <w:pPr>
        <w:jc w:val="both"/>
        <w:rPr>
          <w:b/>
          <w:bCs/>
        </w:rPr>
      </w:pPr>
      <w:r w:rsidRPr="00EC1AAA">
        <w:rPr>
          <w:b/>
          <w:bCs/>
        </w:rPr>
        <w:t>Imparzialità</w:t>
      </w:r>
    </w:p>
    <w:p w14:paraId="67283888" w14:textId="77777777" w:rsidR="00917384" w:rsidRPr="00FA734F" w:rsidRDefault="00917384" w:rsidP="00F45C37">
      <w:pPr>
        <w:jc w:val="both"/>
        <w:rPr>
          <w:rFonts w:cstheme="minorHAnsi"/>
          <w:b/>
          <w:bCs/>
          <w:szCs w:val="24"/>
        </w:rPr>
      </w:pPr>
      <w:r w:rsidRPr="00FA734F">
        <w:rPr>
          <w:rFonts w:cstheme="minorHAnsi"/>
          <w:szCs w:val="24"/>
        </w:rPr>
        <w:t>Il Gestore adotta nei confronti degli utenti un comportamento ispirato a criteri di obiettività, giustizia e imparzialità.</w:t>
      </w:r>
    </w:p>
    <w:p w14:paraId="6E0304DE" w14:textId="79073506" w:rsidR="0003062D" w:rsidRPr="00EC1AAA" w:rsidRDefault="0003062D" w:rsidP="00F45C37">
      <w:pPr>
        <w:jc w:val="both"/>
        <w:rPr>
          <w:b/>
          <w:bCs/>
        </w:rPr>
      </w:pPr>
      <w:r w:rsidRPr="00EC1AAA">
        <w:rPr>
          <w:b/>
          <w:bCs/>
        </w:rPr>
        <w:t>Chiarezza</w:t>
      </w:r>
      <w:r w:rsidR="00917384">
        <w:rPr>
          <w:b/>
          <w:bCs/>
        </w:rPr>
        <w:t xml:space="preserve">, cortesia </w:t>
      </w:r>
      <w:r w:rsidRPr="00EC1AAA">
        <w:rPr>
          <w:b/>
          <w:bCs/>
        </w:rPr>
        <w:t xml:space="preserve">e comprensibilità </w:t>
      </w:r>
      <w:r w:rsidR="00EC1AAA">
        <w:rPr>
          <w:b/>
          <w:bCs/>
        </w:rPr>
        <w:t>delle informazioni (all’utenza)</w:t>
      </w:r>
    </w:p>
    <w:p w14:paraId="6DCE274E" w14:textId="41DF2DD6" w:rsidR="0003062D" w:rsidRPr="007139A6" w:rsidRDefault="00917384" w:rsidP="00F45C3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Cs w:val="24"/>
        </w:rPr>
      </w:pPr>
      <w:r w:rsidRPr="00FA734F">
        <w:rPr>
          <w:rFonts w:cstheme="minorHAnsi"/>
          <w:szCs w:val="24"/>
        </w:rPr>
        <w:t>Il Comune assicura il proprio impegno per garantire l’esposizione corretta delle informazioni necessarie e la disponibilità degli Uffici ai fini del buon esito della pratica in fase di trattazione, ponendo anche la massima attenzione alla semplicità e alla chiarezza del linguaggio utilizzato. Tutti i rapporti con gli utenti sono improntati alla cortesia, alla disponibilità, all’ascolto, al rispetto e all’educazione reciproci.</w:t>
      </w:r>
    </w:p>
    <w:p w14:paraId="04DDC87C" w14:textId="2E1C2BB5" w:rsidR="0003062D" w:rsidRDefault="0003062D" w:rsidP="00F45C37">
      <w:pPr>
        <w:jc w:val="both"/>
        <w:rPr>
          <w:b/>
          <w:bCs/>
        </w:rPr>
      </w:pPr>
      <w:r w:rsidRPr="00EC1AAA">
        <w:rPr>
          <w:b/>
          <w:bCs/>
        </w:rPr>
        <w:t xml:space="preserve">Equità </w:t>
      </w:r>
    </w:p>
    <w:p w14:paraId="09C592FA" w14:textId="7BA43A96" w:rsidR="00917384" w:rsidRPr="00EC1AAA" w:rsidRDefault="00917384" w:rsidP="00F45C37">
      <w:pPr>
        <w:jc w:val="both"/>
        <w:rPr>
          <w:b/>
          <w:bCs/>
        </w:rPr>
      </w:pPr>
      <w:r w:rsidRPr="00FA734F">
        <w:rPr>
          <w:rFonts w:cstheme="minorHAnsi"/>
          <w:szCs w:val="24"/>
        </w:rPr>
        <w:t>Il Comune assicura che il prelievo tributario sia commisurato all’effettiva capacità contributiva</w:t>
      </w:r>
      <w:r>
        <w:rPr>
          <w:rFonts w:cstheme="minorHAnsi"/>
          <w:szCs w:val="24"/>
        </w:rPr>
        <w:t xml:space="preserve"> </w:t>
      </w:r>
      <w:r w:rsidRPr="00FA734F">
        <w:rPr>
          <w:rFonts w:cstheme="minorHAnsi"/>
          <w:szCs w:val="24"/>
        </w:rPr>
        <w:t>garantendo l’emissione di atti di annullamento, sgravi e rimborsi inerenti atti impositivi inesatti o</w:t>
      </w:r>
      <w:r>
        <w:rPr>
          <w:rFonts w:cstheme="minorHAnsi"/>
          <w:szCs w:val="24"/>
        </w:rPr>
        <w:t xml:space="preserve"> </w:t>
      </w:r>
      <w:r w:rsidRPr="00FA734F">
        <w:rPr>
          <w:rFonts w:cstheme="minorHAnsi"/>
          <w:szCs w:val="24"/>
        </w:rPr>
        <w:t>versamenti eccedenti il dovuto.</w:t>
      </w:r>
    </w:p>
    <w:p w14:paraId="4B60E97B" w14:textId="30168DF0" w:rsidR="0003062D" w:rsidRDefault="0003062D" w:rsidP="00F45C37">
      <w:pPr>
        <w:jc w:val="both"/>
        <w:rPr>
          <w:b/>
          <w:bCs/>
        </w:rPr>
      </w:pPr>
      <w:r w:rsidRPr="00EC1AAA">
        <w:rPr>
          <w:b/>
          <w:bCs/>
        </w:rPr>
        <w:t>Semplificazione delle procedure</w:t>
      </w:r>
    </w:p>
    <w:p w14:paraId="6C4FFF62" w14:textId="29EE50DF" w:rsidR="00917384" w:rsidRPr="007139A6" w:rsidRDefault="00917384" w:rsidP="00F45C3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Cs w:val="24"/>
        </w:rPr>
      </w:pPr>
      <w:r w:rsidRPr="00FA734F">
        <w:rPr>
          <w:rFonts w:cstheme="minorHAnsi"/>
          <w:szCs w:val="24"/>
        </w:rPr>
        <w:t>Il Comune assume iniziative volte a garantire che la modulistica sia messa a disposizione del contribuente in tempi utili per gli adempimenti e curando che le proprie comunicazioni ed istruzioni siano comprensibili; per quanto concerne i procedimenti disciplinati autonomamente, gli uffici prevedono che il contribuente possa adempiere ai propri obblighi nelle forme più rapide, agevoli e meno onerose, soprattutto mediante il ricorso sempre maggiore all’informatizzazione dei sistemi di accesso ai servizi.</w:t>
      </w:r>
    </w:p>
    <w:p w14:paraId="56ADE473" w14:textId="607DFC80" w:rsidR="00917384" w:rsidRPr="002C161D" w:rsidRDefault="00917384" w:rsidP="00F45C37">
      <w:pPr>
        <w:jc w:val="both"/>
        <w:rPr>
          <w:b/>
          <w:bCs/>
          <w:szCs w:val="24"/>
        </w:rPr>
      </w:pPr>
      <w:r w:rsidRPr="002C161D">
        <w:rPr>
          <w:b/>
          <w:bCs/>
          <w:szCs w:val="24"/>
        </w:rPr>
        <w:t>Efficienza ed efficacia</w:t>
      </w:r>
    </w:p>
    <w:p w14:paraId="6364B17B" w14:textId="117E43B1" w:rsidR="00917384" w:rsidRPr="002C161D" w:rsidRDefault="00917384" w:rsidP="00C26A0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Cs w:val="24"/>
        </w:rPr>
      </w:pPr>
      <w:r w:rsidRPr="002C161D">
        <w:rPr>
          <w:rFonts w:ascii="Calibri" w:hAnsi="Calibri" w:cs="Calibri"/>
          <w:szCs w:val="24"/>
        </w:rPr>
        <w:t>Il Comune pone il massimo impegno affinché i servizi siano erogati in modo da garantire un idoneo grado di efficienza ed efficacia, ponendo in essere le condizioni e le misure idonee al raggiungimento di tali obiettivi, adottando in maniera continuativa soluzioni tecnologiche, organizzative e procedurali più funzionali al raggiungimento dello scopo, compatibilmente con le risorse disponibili.</w:t>
      </w:r>
    </w:p>
    <w:p w14:paraId="0B9D79C1" w14:textId="4EB3256E" w:rsidR="00917384" w:rsidRPr="002C161D" w:rsidRDefault="00917384" w:rsidP="00F45C37">
      <w:pPr>
        <w:jc w:val="both"/>
        <w:rPr>
          <w:b/>
          <w:bCs/>
          <w:szCs w:val="24"/>
        </w:rPr>
      </w:pPr>
      <w:r w:rsidRPr="002C161D">
        <w:rPr>
          <w:b/>
          <w:bCs/>
          <w:szCs w:val="24"/>
        </w:rPr>
        <w:t>Privacy</w:t>
      </w:r>
    </w:p>
    <w:p w14:paraId="24C0793B" w14:textId="407162AE" w:rsidR="00917384" w:rsidRPr="00917384" w:rsidRDefault="00917384" w:rsidP="00F45C37">
      <w:pPr>
        <w:jc w:val="both"/>
        <w:rPr>
          <w:szCs w:val="24"/>
        </w:rPr>
      </w:pPr>
      <w:r w:rsidRPr="002C161D">
        <w:rPr>
          <w:szCs w:val="24"/>
        </w:rPr>
        <w:t>Il Comune si impegna a garantire che il trattamento dei dati personali degli utenti avvenga nel rispetto delle disposizioni di cui al GDPR.</w:t>
      </w:r>
      <w:r w:rsidRPr="002C161D">
        <w:rPr>
          <w:rStyle w:val="Rimandonotaapidipagina"/>
          <w:i/>
          <w:iCs/>
          <w:szCs w:val="24"/>
        </w:rPr>
        <w:t xml:space="preserve"> </w:t>
      </w:r>
    </w:p>
    <w:p w14:paraId="67DAC9C9" w14:textId="483F2D0C" w:rsidR="00EC1AAA" w:rsidRPr="007139A6" w:rsidRDefault="00EC1AAA" w:rsidP="00F45C37">
      <w:pPr>
        <w:jc w:val="both"/>
        <w:rPr>
          <w:b/>
          <w:bCs/>
        </w:rPr>
      </w:pPr>
    </w:p>
    <w:p w14:paraId="2689DC1B" w14:textId="2366D1A6" w:rsidR="00017AD9" w:rsidRPr="006E3860" w:rsidRDefault="0003062D" w:rsidP="006E3860">
      <w:pPr>
        <w:pStyle w:val="Titolo1"/>
        <w:numPr>
          <w:ilvl w:val="0"/>
          <w:numId w:val="4"/>
        </w:numPr>
        <w:ind w:left="426"/>
        <w:jc w:val="both"/>
      </w:pPr>
      <w:r>
        <w:rPr>
          <w:highlight w:val="yellow"/>
        </w:rPr>
        <w:br w:type="page"/>
      </w:r>
      <w:bookmarkStart w:id="14" w:name="_Toc121998681"/>
      <w:r w:rsidR="00017AD9" w:rsidRPr="006E3860">
        <w:lastRenderedPageBreak/>
        <w:t>Gestori</w:t>
      </w:r>
      <w:bookmarkEnd w:id="14"/>
    </w:p>
    <w:p w14:paraId="6C4A0222" w14:textId="6E40D181" w:rsidR="00017AD9" w:rsidRDefault="00017AD9" w:rsidP="00F45C37">
      <w:pPr>
        <w:jc w:val="both"/>
      </w:pPr>
    </w:p>
    <w:p w14:paraId="47B22525" w14:textId="79B74787" w:rsidR="00017AD9" w:rsidRDefault="00017AD9" w:rsidP="00F45C37">
      <w:pPr>
        <w:jc w:val="both"/>
      </w:pPr>
      <w:r>
        <w:t>Sono di seguito riportate le informazioni inerenti ai gestori del servizio rifiuti</w:t>
      </w:r>
      <w:r w:rsidR="00EC1AAA">
        <w:t xml:space="preserve"> ed i relativi contatti</w:t>
      </w:r>
      <w:r>
        <w:t>.</w:t>
      </w:r>
    </w:p>
    <w:p w14:paraId="172B86EC" w14:textId="77777777" w:rsidR="00F52280" w:rsidRDefault="00F52280" w:rsidP="00F45C37">
      <w:pPr>
        <w:jc w:val="both"/>
      </w:pPr>
    </w:p>
    <w:p w14:paraId="1A7F9D52" w14:textId="283BFA3D" w:rsidR="00017AD9" w:rsidRPr="00BE2E3D" w:rsidRDefault="00F52280" w:rsidP="00FE6BF2">
      <w:pPr>
        <w:jc w:val="both"/>
        <w:rPr>
          <w:b/>
          <w:bCs/>
        </w:rPr>
      </w:pPr>
      <w:r w:rsidRPr="00BE2E3D">
        <w:rPr>
          <w:b/>
          <w:bCs/>
        </w:rPr>
        <w:t>Gestore tariffe e rapporti con gli utenti</w:t>
      </w:r>
    </w:p>
    <w:p w14:paraId="239D2F85" w14:textId="065BC213" w:rsidR="00BE2E3D" w:rsidRPr="00374956" w:rsidRDefault="00C26A04" w:rsidP="00FE6BF2">
      <w:pPr>
        <w:jc w:val="both"/>
        <w:rPr>
          <w:u w:val="single"/>
        </w:rPr>
      </w:pPr>
      <w:r w:rsidRPr="002C161D">
        <w:rPr>
          <w:u w:val="single"/>
        </w:rPr>
        <w:t xml:space="preserve">Ufficio Tributi del </w:t>
      </w:r>
      <w:r w:rsidR="00C55DDE" w:rsidRPr="002C161D">
        <w:rPr>
          <w:u w:val="single"/>
        </w:rPr>
        <w:t xml:space="preserve">Comune </w:t>
      </w:r>
      <w:r w:rsidR="00ED208C" w:rsidRPr="002C161D">
        <w:rPr>
          <w:u w:val="single"/>
        </w:rPr>
        <w:t xml:space="preserve">di </w:t>
      </w:r>
      <w:r w:rsidR="001E5C97">
        <w:rPr>
          <w:u w:val="single"/>
        </w:rPr>
        <w:t>Robbio</w:t>
      </w:r>
    </w:p>
    <w:p w14:paraId="245B461E" w14:textId="101A4A74" w:rsidR="00BE2E3D" w:rsidRPr="00374956" w:rsidRDefault="00BE2E3D" w:rsidP="00374956">
      <w:pPr>
        <w:jc w:val="both"/>
      </w:pPr>
      <w:r w:rsidRPr="00374956">
        <w:rPr>
          <w:b/>
          <w:bCs/>
          <w:i/>
          <w:iCs/>
        </w:rPr>
        <w:t>Indirizzo</w:t>
      </w:r>
      <w:r w:rsidR="00FE6BF2" w:rsidRPr="00374956">
        <w:rPr>
          <w:b/>
          <w:bCs/>
          <w:i/>
          <w:iCs/>
        </w:rPr>
        <w:t xml:space="preserve">: </w:t>
      </w:r>
      <w:r w:rsidR="00374956" w:rsidRPr="00374956">
        <w:t xml:space="preserve">Piazza </w:t>
      </w:r>
      <w:r w:rsidR="001E5C97">
        <w:t>della Libertà</w:t>
      </w:r>
      <w:r w:rsidR="00374956" w:rsidRPr="00374956">
        <w:t xml:space="preserve">, </w:t>
      </w:r>
      <w:r w:rsidR="001E5C97">
        <w:t>2</w:t>
      </w:r>
      <w:r w:rsidR="00374956" w:rsidRPr="00374956">
        <w:t xml:space="preserve"> – 270</w:t>
      </w:r>
      <w:r w:rsidR="001E5C97">
        <w:t>38</w:t>
      </w:r>
      <w:r w:rsidR="00374956" w:rsidRPr="00374956">
        <w:t xml:space="preserve"> - </w:t>
      </w:r>
      <w:r w:rsidR="001E5C97">
        <w:t>Robbio</w:t>
      </w:r>
      <w:r w:rsidR="00374956" w:rsidRPr="00374956">
        <w:t xml:space="preserve"> (PV)</w:t>
      </w:r>
    </w:p>
    <w:p w14:paraId="4CEE6389" w14:textId="3F882557" w:rsidR="00374956" w:rsidRDefault="00F45C37" w:rsidP="00374956">
      <w:r w:rsidRPr="00374956">
        <w:rPr>
          <w:b/>
          <w:bCs/>
          <w:i/>
          <w:iCs/>
        </w:rPr>
        <w:t>Orario di apertura al pubblico</w:t>
      </w:r>
      <w:r w:rsidR="00374956" w:rsidRPr="00374956">
        <w:rPr>
          <w:b/>
          <w:bCs/>
          <w:i/>
          <w:iCs/>
        </w:rPr>
        <w:t>:</w:t>
      </w:r>
      <w:r w:rsidRPr="00374956">
        <w:br/>
      </w:r>
      <w:r w:rsidR="00374956" w:rsidRPr="00374956">
        <w:t xml:space="preserve">martedì </w:t>
      </w:r>
      <w:r w:rsidR="001E5C97">
        <w:t>–</w:t>
      </w:r>
      <w:r w:rsidR="00374956" w:rsidRPr="00374956">
        <w:t xml:space="preserve"> </w:t>
      </w:r>
      <w:r w:rsidR="001E5C97">
        <w:t xml:space="preserve">giovedì </w:t>
      </w:r>
      <w:r w:rsidR="00374956" w:rsidRPr="00374956">
        <w:t xml:space="preserve">dalle </w:t>
      </w:r>
      <w:r w:rsidR="001E5C97">
        <w:t>10,00 alle 13,00</w:t>
      </w:r>
      <w:r w:rsidR="00374956" w:rsidRPr="00374956">
        <w:t xml:space="preserve"> </w:t>
      </w:r>
    </w:p>
    <w:p w14:paraId="2DFBECE9" w14:textId="7EE31A00" w:rsidR="001E5C97" w:rsidRPr="00374956" w:rsidRDefault="001E5C97" w:rsidP="00374956">
      <w:r>
        <w:t>e su appuntamento per esigenze utenza</w:t>
      </w:r>
    </w:p>
    <w:p w14:paraId="0750A87B" w14:textId="299EB9D1" w:rsidR="00BE2E3D" w:rsidRPr="00374956" w:rsidRDefault="00FE6BF2" w:rsidP="00FE6BF2">
      <w:pPr>
        <w:spacing w:line="240" w:lineRule="auto"/>
        <w:jc w:val="both"/>
      </w:pPr>
      <w:r w:rsidRPr="00374956">
        <w:rPr>
          <w:b/>
          <w:bCs/>
          <w:i/>
          <w:iCs/>
        </w:rPr>
        <w:t>T</w:t>
      </w:r>
      <w:r w:rsidR="00BE2E3D" w:rsidRPr="00374956">
        <w:rPr>
          <w:b/>
          <w:bCs/>
          <w:i/>
          <w:iCs/>
        </w:rPr>
        <w:t>elefono</w:t>
      </w:r>
      <w:r w:rsidRPr="00374956">
        <w:rPr>
          <w:b/>
          <w:bCs/>
          <w:i/>
          <w:iCs/>
        </w:rPr>
        <w:t xml:space="preserve">: </w:t>
      </w:r>
      <w:r w:rsidR="00374956" w:rsidRPr="00374956">
        <w:t>0384.</w:t>
      </w:r>
      <w:r w:rsidR="001E5C97">
        <w:t>675218</w:t>
      </w:r>
      <w:r w:rsidR="00374956" w:rsidRPr="00374956">
        <w:t xml:space="preserve"> - 0384.</w:t>
      </w:r>
      <w:r w:rsidR="001E5C97">
        <w:t>675201</w:t>
      </w:r>
    </w:p>
    <w:p w14:paraId="1ADC466C" w14:textId="3BC6FBCC" w:rsidR="00F45C37" w:rsidRPr="005464CA" w:rsidRDefault="00BE2E3D" w:rsidP="00374956">
      <w:pPr>
        <w:jc w:val="both"/>
        <w:rPr>
          <w:rFonts w:ascii="Verdana" w:hAnsi="Verdana"/>
          <w:color w:val="1B1110"/>
          <w:sz w:val="20"/>
          <w:szCs w:val="20"/>
          <w:shd w:val="clear" w:color="auto" w:fill="FFFFFF"/>
        </w:rPr>
      </w:pPr>
      <w:r w:rsidRPr="005464CA">
        <w:rPr>
          <w:b/>
          <w:bCs/>
          <w:i/>
          <w:iCs/>
        </w:rPr>
        <w:t>Email</w:t>
      </w:r>
      <w:r w:rsidR="00FE6BF2" w:rsidRPr="005464CA">
        <w:rPr>
          <w:b/>
          <w:bCs/>
          <w:i/>
          <w:iCs/>
        </w:rPr>
        <w:t xml:space="preserve">: </w:t>
      </w:r>
      <w:hyperlink r:id="rId11" w:history="1">
        <w:r w:rsidR="00CE2AFF" w:rsidRPr="005464CA">
          <w:rPr>
            <w:rStyle w:val="Collegamentoipertestuale"/>
            <w:rFonts w:ascii="Verdana" w:hAnsi="Verdana"/>
            <w:sz w:val="20"/>
            <w:szCs w:val="20"/>
            <w:shd w:val="clear" w:color="auto" w:fill="FFFFFF"/>
          </w:rPr>
          <w:t>tributi@comune.robbio.pv.it</w:t>
        </w:r>
      </w:hyperlink>
      <w:r w:rsidR="00CE2AFF" w:rsidRPr="005464CA">
        <w:rPr>
          <w:rFonts w:ascii="Verdana" w:hAnsi="Verdana"/>
          <w:color w:val="1B1110"/>
          <w:sz w:val="20"/>
          <w:szCs w:val="20"/>
          <w:shd w:val="clear" w:color="auto" w:fill="FFFFFF"/>
        </w:rPr>
        <w:t xml:space="preserve">  </w:t>
      </w:r>
      <w:hyperlink r:id="rId12" w:history="1">
        <w:r w:rsidR="00CE2AFF" w:rsidRPr="005464CA">
          <w:rPr>
            <w:rStyle w:val="Collegamentoipertestuale"/>
            <w:rFonts w:ascii="Verdana" w:hAnsi="Verdana"/>
            <w:sz w:val="20"/>
            <w:szCs w:val="20"/>
            <w:shd w:val="clear" w:color="auto" w:fill="FFFFFF"/>
          </w:rPr>
          <w:t>ragioneria@comune.robbio.pv.it</w:t>
        </w:r>
      </w:hyperlink>
      <w:r w:rsidR="00CE2AFF" w:rsidRPr="005464CA">
        <w:rPr>
          <w:rFonts w:ascii="Verdana" w:hAnsi="Verdana"/>
          <w:color w:val="1B1110"/>
          <w:sz w:val="20"/>
          <w:szCs w:val="20"/>
          <w:shd w:val="clear" w:color="auto" w:fill="FFFFFF"/>
        </w:rPr>
        <w:t xml:space="preserve">: </w:t>
      </w:r>
    </w:p>
    <w:p w14:paraId="336E802E" w14:textId="17097E59" w:rsidR="00374956" w:rsidRDefault="00374956" w:rsidP="00374956">
      <w:pPr>
        <w:jc w:val="both"/>
        <w:rPr>
          <w:rFonts w:ascii="Verdana" w:hAnsi="Verdana"/>
          <w:color w:val="1B1110"/>
          <w:sz w:val="20"/>
          <w:szCs w:val="20"/>
          <w:shd w:val="clear" w:color="auto" w:fill="FFFFFF"/>
        </w:rPr>
      </w:pPr>
      <w:r w:rsidRPr="00DA3F0D">
        <w:rPr>
          <w:b/>
          <w:bCs/>
          <w:i/>
          <w:iCs/>
        </w:rPr>
        <w:t>PEC:</w:t>
      </w:r>
      <w:r w:rsidRPr="00374956">
        <w:rPr>
          <w:b/>
          <w:bCs/>
          <w:i/>
          <w:iCs/>
        </w:rPr>
        <w:t xml:space="preserve"> </w:t>
      </w:r>
      <w:r w:rsidR="00DA3F0D" w:rsidRPr="00DA3F0D">
        <w:t>comune.robbio@pec.it</w:t>
      </w:r>
    </w:p>
    <w:p w14:paraId="688EF066" w14:textId="77777777" w:rsidR="00374956" w:rsidRPr="00374956" w:rsidRDefault="00374956" w:rsidP="00374956">
      <w:pPr>
        <w:jc w:val="both"/>
        <w:rPr>
          <w:b/>
          <w:bCs/>
          <w:i/>
          <w:iCs/>
        </w:rPr>
      </w:pPr>
    </w:p>
    <w:p w14:paraId="54D9ED5E" w14:textId="60C4DCC6" w:rsidR="00017AD9" w:rsidRPr="00F52280" w:rsidRDefault="00F52280" w:rsidP="00F45C37">
      <w:pPr>
        <w:jc w:val="both"/>
        <w:rPr>
          <w:b/>
          <w:bCs/>
        </w:rPr>
      </w:pPr>
      <w:r w:rsidRPr="00F52280">
        <w:rPr>
          <w:b/>
          <w:bCs/>
        </w:rPr>
        <w:t>Gestore raccolta e trasporto rifiuti e spazzamento e lavaggio delle strade</w:t>
      </w:r>
    </w:p>
    <w:p w14:paraId="6675234F" w14:textId="77777777" w:rsidR="00374956" w:rsidRPr="00374956" w:rsidRDefault="00374956" w:rsidP="00374956">
      <w:pPr>
        <w:jc w:val="both"/>
        <w:rPr>
          <w:u w:val="single"/>
        </w:rPr>
      </w:pPr>
      <w:r w:rsidRPr="00374956">
        <w:rPr>
          <w:u w:val="single"/>
        </w:rPr>
        <w:t xml:space="preserve">IMPRESA SANGALLI GIANCARLO &amp; C. S.r.l   </w:t>
      </w:r>
    </w:p>
    <w:p w14:paraId="36D883A3" w14:textId="77777777" w:rsidR="00374956" w:rsidRDefault="00374956" w:rsidP="00374956">
      <w:pPr>
        <w:jc w:val="both"/>
      </w:pPr>
      <w:r w:rsidRPr="00374956">
        <w:rPr>
          <w:b/>
          <w:bCs/>
          <w:i/>
          <w:iCs/>
        </w:rPr>
        <w:t>Sede legale:</w:t>
      </w:r>
      <w:r w:rsidRPr="00374956">
        <w:rPr>
          <w:i/>
          <w:iCs/>
        </w:rPr>
        <w:t xml:space="preserve"> </w:t>
      </w:r>
      <w:r>
        <w:t>Viale Enrico Fermi 35, Monza (MB)</w:t>
      </w:r>
    </w:p>
    <w:p w14:paraId="2B3EDA4F" w14:textId="77777777" w:rsidR="00374956" w:rsidRDefault="00374956" w:rsidP="00374956">
      <w:pPr>
        <w:jc w:val="both"/>
      </w:pPr>
      <w:r w:rsidRPr="00374956">
        <w:rPr>
          <w:b/>
          <w:bCs/>
          <w:i/>
          <w:iCs/>
        </w:rPr>
        <w:t>Sede operativa:</w:t>
      </w:r>
      <w:r>
        <w:t xml:space="preserve"> Corso Torino 120, Vigevano (PV)</w:t>
      </w:r>
    </w:p>
    <w:p w14:paraId="2549D73A" w14:textId="77777777" w:rsidR="00374956" w:rsidRDefault="00374956" w:rsidP="00374956">
      <w:pPr>
        <w:jc w:val="both"/>
      </w:pPr>
      <w:r w:rsidRPr="00374956">
        <w:rPr>
          <w:b/>
          <w:bCs/>
          <w:i/>
          <w:iCs/>
        </w:rPr>
        <w:t>Tel:</w:t>
      </w:r>
      <w:r>
        <w:t xml:space="preserve"> 039 20 21 986</w:t>
      </w:r>
    </w:p>
    <w:p w14:paraId="1CD28D56" w14:textId="77777777" w:rsidR="00374956" w:rsidRDefault="00374956" w:rsidP="00374956">
      <w:pPr>
        <w:jc w:val="both"/>
      </w:pPr>
      <w:r w:rsidRPr="00374956">
        <w:rPr>
          <w:b/>
          <w:bCs/>
          <w:i/>
          <w:iCs/>
        </w:rPr>
        <w:t>Fax:</w:t>
      </w:r>
      <w:r>
        <w:t xml:space="preserve"> 039 83 46 02</w:t>
      </w:r>
    </w:p>
    <w:p w14:paraId="5484D7BC" w14:textId="77777777" w:rsidR="00374956" w:rsidRDefault="00374956" w:rsidP="00374956">
      <w:pPr>
        <w:jc w:val="both"/>
      </w:pPr>
      <w:r w:rsidRPr="00374956">
        <w:rPr>
          <w:b/>
          <w:bCs/>
          <w:i/>
          <w:iCs/>
        </w:rPr>
        <w:t>Numero verde:</w:t>
      </w:r>
      <w:r>
        <w:t xml:space="preserve"> 800.35.34.12</w:t>
      </w:r>
    </w:p>
    <w:p w14:paraId="075529AE" w14:textId="77777777" w:rsidR="00374956" w:rsidRDefault="00374956" w:rsidP="00374956">
      <w:pPr>
        <w:jc w:val="both"/>
      </w:pPr>
      <w:r w:rsidRPr="00374956">
        <w:rPr>
          <w:b/>
          <w:bCs/>
          <w:i/>
          <w:iCs/>
        </w:rPr>
        <w:t>Email:</w:t>
      </w:r>
      <w:r>
        <w:t xml:space="preserve"> vigevano@impresasangalli.it</w:t>
      </w:r>
    </w:p>
    <w:p w14:paraId="22EBB491" w14:textId="692CBEA4" w:rsidR="00901D91" w:rsidRDefault="00374956" w:rsidP="00374956">
      <w:pPr>
        <w:jc w:val="both"/>
      </w:pPr>
      <w:r w:rsidRPr="00374956">
        <w:rPr>
          <w:b/>
          <w:bCs/>
          <w:i/>
          <w:iCs/>
        </w:rPr>
        <w:t>PEC:</w:t>
      </w:r>
      <w:r>
        <w:t xml:space="preserve"> sangalli@pec.sedevirtuale.it</w:t>
      </w:r>
    </w:p>
    <w:p w14:paraId="106C2AFE" w14:textId="20BA0E5E" w:rsidR="00901D91" w:rsidRDefault="00901D91" w:rsidP="00901D91">
      <w:pPr>
        <w:jc w:val="both"/>
      </w:pPr>
    </w:p>
    <w:p w14:paraId="1CC5F98D" w14:textId="673AB8FC" w:rsidR="00901D91" w:rsidRDefault="00901D91" w:rsidP="00901D91">
      <w:pPr>
        <w:jc w:val="both"/>
      </w:pPr>
    </w:p>
    <w:p w14:paraId="52D78B90" w14:textId="3212025B" w:rsidR="00DF6DAE" w:rsidRDefault="00DF6DAE" w:rsidP="00901D91">
      <w:pPr>
        <w:jc w:val="both"/>
      </w:pPr>
    </w:p>
    <w:p w14:paraId="77F13E3D" w14:textId="18F42672" w:rsidR="00DF6DAE" w:rsidRDefault="00DF6DAE" w:rsidP="00901D91">
      <w:pPr>
        <w:jc w:val="both"/>
      </w:pPr>
    </w:p>
    <w:p w14:paraId="69739AEF" w14:textId="06CAAD94" w:rsidR="00FE6BF2" w:rsidRDefault="00FE6BF2">
      <w:pPr>
        <w:spacing w:after="160"/>
      </w:pPr>
      <w:r>
        <w:br w:type="page"/>
      </w:r>
    </w:p>
    <w:p w14:paraId="639681C8" w14:textId="638BAA33" w:rsidR="00901D91" w:rsidRDefault="00901D91" w:rsidP="006E3860">
      <w:pPr>
        <w:pStyle w:val="Titolo1"/>
        <w:numPr>
          <w:ilvl w:val="0"/>
          <w:numId w:val="4"/>
        </w:numPr>
        <w:ind w:left="426"/>
      </w:pPr>
      <w:bookmarkStart w:id="15" w:name="_Toc115708079"/>
      <w:bookmarkStart w:id="16" w:name="_Toc121998682"/>
      <w:r>
        <w:lastRenderedPageBreak/>
        <w:t>Posizionamento nella matrice degli schemi regolatori</w:t>
      </w:r>
      <w:bookmarkEnd w:id="15"/>
      <w:bookmarkEnd w:id="16"/>
    </w:p>
    <w:p w14:paraId="000D4B29" w14:textId="19091533" w:rsidR="00665BCB" w:rsidRDefault="00665BCB" w:rsidP="00665BCB"/>
    <w:p w14:paraId="6CBF3ACA" w14:textId="76B7788C" w:rsidR="00665BCB" w:rsidRPr="00665BCB" w:rsidRDefault="00665BCB" w:rsidP="00665BCB">
      <w:pPr>
        <w:jc w:val="both"/>
      </w:pPr>
      <w:r w:rsidRPr="00F1088D">
        <w:t xml:space="preserve">Considerato quanto disposto con Deliberazione 15/2022 in relazione alla regolazione della qualità del servizio di gestione dei rifiuti urbani, preso atto dello schema regolatorio asimmetrico e graduale predisposto da ARERA nella suddetta Deliberazione, il Comune, in veste di Ente territorialmente competente, ha individuato, come indicato dall’art. 3, comma 1 del Testo unico per la regolazione della qualità del servizio di </w:t>
      </w:r>
      <w:r w:rsidRPr="00665BCB">
        <w:t>gestione dei rifiuti urbani (TQRIF), il posizionamento della gestione nella schema regolatorio I, sulla base del livello qualitativo di partenza.</w:t>
      </w:r>
    </w:p>
    <w:p w14:paraId="58B08427" w14:textId="77777777" w:rsidR="00FE6BF2" w:rsidRDefault="00FE6BF2" w:rsidP="00901D91"/>
    <w:p w14:paraId="67BA4DD3" w14:textId="4060B29A" w:rsidR="00901D91" w:rsidRPr="00F1088D" w:rsidRDefault="00901D91" w:rsidP="00901D91">
      <w:r w:rsidRPr="00F1088D">
        <w:rPr>
          <w:noProof/>
        </w:rPr>
        <w:drawing>
          <wp:inline distT="0" distB="0" distL="0" distR="0" wp14:anchorId="2DE817F6" wp14:editId="126773ED">
            <wp:extent cx="6096000" cy="286331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86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88B57" w14:textId="5536AB03" w:rsidR="00901D91" w:rsidRDefault="00901D91" w:rsidP="00901D91"/>
    <w:p w14:paraId="03666329" w14:textId="4AD9EBD2" w:rsidR="00901D91" w:rsidRDefault="00901D91" w:rsidP="00901D91">
      <w:pPr>
        <w:spacing w:after="160"/>
      </w:pPr>
      <w:r>
        <w:br w:type="page"/>
      </w:r>
    </w:p>
    <w:p w14:paraId="09F6D8E4" w14:textId="03C91BA8" w:rsidR="00901D91" w:rsidRDefault="00901D91" w:rsidP="006E3860">
      <w:pPr>
        <w:pStyle w:val="Titolo1"/>
        <w:numPr>
          <w:ilvl w:val="0"/>
          <w:numId w:val="4"/>
        </w:numPr>
        <w:ind w:left="426"/>
      </w:pPr>
      <w:bookmarkStart w:id="17" w:name="_Toc115708080"/>
      <w:bookmarkStart w:id="18" w:name="_Toc121998683"/>
      <w:r>
        <w:lastRenderedPageBreak/>
        <w:t>Obblighi di servizio e standard generali di qualità contrattuale e tecnica</w:t>
      </w:r>
      <w:bookmarkEnd w:id="17"/>
      <w:bookmarkEnd w:id="18"/>
    </w:p>
    <w:p w14:paraId="5DEB50C2" w14:textId="77777777" w:rsidR="00901D91" w:rsidRDefault="00901D91" w:rsidP="00901D91"/>
    <w:p w14:paraId="605BE249" w14:textId="527AAF65" w:rsidR="00C26A04" w:rsidRPr="00665BCB" w:rsidRDefault="00C26A04" w:rsidP="00C26A04">
      <w:pPr>
        <w:spacing w:after="160"/>
        <w:jc w:val="both"/>
      </w:pPr>
      <w:r w:rsidRPr="00665BCB">
        <w:t xml:space="preserve">Dal momento che il Comune, in veste di Ente territorialmente competente, ha optato per lo schema </w:t>
      </w:r>
      <w:r w:rsidRPr="00A81D0D">
        <w:t xml:space="preserve">regolatorio I di cui sopra con Deliberazione </w:t>
      </w:r>
      <w:r w:rsidR="00B53876" w:rsidRPr="00A81D0D">
        <w:t>di Giunta Comunale n.</w:t>
      </w:r>
      <w:r w:rsidR="00A37B86">
        <w:t>4</w:t>
      </w:r>
      <w:r w:rsidR="00A81D0D" w:rsidRPr="00A81D0D">
        <w:t>9</w:t>
      </w:r>
      <w:r w:rsidR="00B53876" w:rsidRPr="00A81D0D">
        <w:t xml:space="preserve"> del </w:t>
      </w:r>
      <w:r w:rsidR="00A81D0D" w:rsidRPr="00A81D0D">
        <w:t>2</w:t>
      </w:r>
      <w:r w:rsidR="00A37B86">
        <w:t>9</w:t>
      </w:r>
      <w:r w:rsidR="00A81D0D" w:rsidRPr="00A81D0D">
        <w:t>/0</w:t>
      </w:r>
      <w:r w:rsidR="00A37B86">
        <w:t>3</w:t>
      </w:r>
      <w:r w:rsidR="00F23B6E">
        <w:t>/</w:t>
      </w:r>
      <w:r w:rsidR="00B53876" w:rsidRPr="00A81D0D">
        <w:t>2022</w:t>
      </w:r>
      <w:r w:rsidRPr="00A81D0D">
        <w:t>, la Gestione</w:t>
      </w:r>
      <w:r w:rsidRPr="00665BCB">
        <w:t xml:space="preserve"> della Tariffa e rapporto con gli Utenti non è soggetta, secondo quando disposto da ARERA rispettivamente al secondo e terzo comma art. 3 del TQRIF, a standard di qualità generali ma esclusivamente agli obblighi di servizio di cui all’APPENDICE 1 del TQRIF esposti nella seguente tabella.</w:t>
      </w:r>
    </w:p>
    <w:p w14:paraId="3EEB3536" w14:textId="77777777" w:rsidR="00015FCF" w:rsidRDefault="00015FCF" w:rsidP="00015FCF">
      <w:pPr>
        <w:jc w:val="both"/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8364"/>
        <w:gridCol w:w="1275"/>
      </w:tblGrid>
      <w:tr w:rsidR="00015FCF" w14:paraId="4A4AA91C" w14:textId="77777777" w:rsidTr="00C26A04">
        <w:trPr>
          <w:trHeight w:val="406"/>
        </w:trPr>
        <w:tc>
          <w:tcPr>
            <w:tcW w:w="8364" w:type="dxa"/>
            <w:tcBorders>
              <w:top w:val="nil"/>
              <w:left w:val="nil"/>
            </w:tcBorders>
          </w:tcPr>
          <w:p w14:paraId="3A722656" w14:textId="77777777" w:rsidR="00015FCF" w:rsidRDefault="00015FCF" w:rsidP="005A1213"/>
        </w:tc>
        <w:tc>
          <w:tcPr>
            <w:tcW w:w="1275" w:type="dxa"/>
            <w:shd w:val="clear" w:color="auto" w:fill="002060"/>
          </w:tcPr>
          <w:p w14:paraId="483592B9" w14:textId="77777777" w:rsidR="00015FCF" w:rsidRPr="006A183F" w:rsidRDefault="00015FCF" w:rsidP="005A1213">
            <w:pPr>
              <w:jc w:val="center"/>
              <w:rPr>
                <w:b/>
                <w:bCs/>
              </w:rPr>
            </w:pPr>
            <w:r w:rsidRPr="006A183F">
              <w:rPr>
                <w:b/>
                <w:bCs/>
              </w:rPr>
              <w:t>Schema I</w:t>
            </w:r>
          </w:p>
        </w:tc>
      </w:tr>
      <w:tr w:rsidR="00015FCF" w14:paraId="28361D7B" w14:textId="77777777" w:rsidTr="00C26A04">
        <w:trPr>
          <w:trHeight w:val="75"/>
        </w:trPr>
        <w:tc>
          <w:tcPr>
            <w:tcW w:w="8364" w:type="dxa"/>
          </w:tcPr>
          <w:p w14:paraId="2D467236" w14:textId="77777777" w:rsidR="00015FCF" w:rsidRDefault="00015FCF" w:rsidP="005A1213">
            <w:r>
              <w:rPr>
                <w:sz w:val="22"/>
              </w:rPr>
              <w:t xml:space="preserve">Adozione e pubblicazione di un’unica Carta della qualità del servizio per gestione di cui all’Articolo 5 </w:t>
            </w:r>
          </w:p>
        </w:tc>
        <w:tc>
          <w:tcPr>
            <w:tcW w:w="1275" w:type="dxa"/>
          </w:tcPr>
          <w:p w14:paraId="02984FB2" w14:textId="77777777" w:rsidR="00015FCF" w:rsidRDefault="00015FCF" w:rsidP="005A1213">
            <w:pPr>
              <w:jc w:val="center"/>
            </w:pPr>
            <w:r>
              <w:rPr>
                <w:sz w:val="22"/>
              </w:rPr>
              <w:t>SI</w:t>
            </w:r>
          </w:p>
        </w:tc>
      </w:tr>
      <w:tr w:rsidR="00015FCF" w14:paraId="1F716F96" w14:textId="77777777" w:rsidTr="00C26A04">
        <w:trPr>
          <w:trHeight w:val="108"/>
        </w:trPr>
        <w:tc>
          <w:tcPr>
            <w:tcW w:w="8364" w:type="dxa"/>
          </w:tcPr>
          <w:p w14:paraId="3F15CBE8" w14:textId="77777777" w:rsidR="00015FCF" w:rsidRDefault="00015FCF" w:rsidP="005A1213">
            <w:r>
              <w:rPr>
                <w:sz w:val="22"/>
              </w:rPr>
              <w:t xml:space="preserve">Modalità di attivazione del servizio di cui all’Articolo 6 e all’Articolo 7 </w:t>
            </w:r>
          </w:p>
        </w:tc>
        <w:tc>
          <w:tcPr>
            <w:tcW w:w="1275" w:type="dxa"/>
          </w:tcPr>
          <w:p w14:paraId="423C540E" w14:textId="77777777" w:rsidR="00015FCF" w:rsidRDefault="00015FCF" w:rsidP="005A1213">
            <w:pPr>
              <w:ind w:right="92"/>
              <w:jc w:val="center"/>
            </w:pPr>
            <w:r>
              <w:rPr>
                <w:sz w:val="22"/>
              </w:rPr>
              <w:t>SI</w:t>
            </w:r>
          </w:p>
        </w:tc>
      </w:tr>
      <w:tr w:rsidR="00015FCF" w14:paraId="766E025B" w14:textId="77777777" w:rsidTr="00C26A04">
        <w:trPr>
          <w:trHeight w:val="128"/>
        </w:trPr>
        <w:tc>
          <w:tcPr>
            <w:tcW w:w="8364" w:type="dxa"/>
          </w:tcPr>
          <w:p w14:paraId="5DD28071" w14:textId="77777777" w:rsidR="00015FCF" w:rsidRDefault="00015FCF" w:rsidP="005A1213">
            <w:r>
              <w:rPr>
                <w:sz w:val="22"/>
              </w:rPr>
              <w:t xml:space="preserve">Modalità per la variazione o cessazione del servizio di cui all’Articolo 10 e all’Articolo 11 </w:t>
            </w:r>
          </w:p>
        </w:tc>
        <w:tc>
          <w:tcPr>
            <w:tcW w:w="1275" w:type="dxa"/>
          </w:tcPr>
          <w:p w14:paraId="6F965CAB" w14:textId="77777777" w:rsidR="00015FCF" w:rsidRDefault="00015FCF" w:rsidP="005A1213">
            <w:pPr>
              <w:jc w:val="center"/>
            </w:pPr>
            <w:r>
              <w:rPr>
                <w:sz w:val="22"/>
              </w:rPr>
              <w:t>SI</w:t>
            </w:r>
          </w:p>
        </w:tc>
      </w:tr>
      <w:tr w:rsidR="00015FCF" w14:paraId="524759FB" w14:textId="77777777" w:rsidTr="00C26A04">
        <w:trPr>
          <w:trHeight w:val="681"/>
        </w:trPr>
        <w:tc>
          <w:tcPr>
            <w:tcW w:w="8364" w:type="dxa"/>
          </w:tcPr>
          <w:p w14:paraId="755D4F2C" w14:textId="77777777" w:rsidR="00015FCF" w:rsidRDefault="00015FCF" w:rsidP="005A1213">
            <w:r>
              <w:rPr>
                <w:sz w:val="22"/>
              </w:rPr>
              <w:t xml:space="preserve">Procedura per la gestione dei reclami, delle richieste scritte di informazioni e di rettifica degli importi addebitati, di cui all’Articolo 13, all’Articolo 17 e all’Articolo 18 </w:t>
            </w:r>
          </w:p>
        </w:tc>
        <w:tc>
          <w:tcPr>
            <w:tcW w:w="1275" w:type="dxa"/>
          </w:tcPr>
          <w:p w14:paraId="17B33D67" w14:textId="77777777" w:rsidR="00015FCF" w:rsidRDefault="00015FCF" w:rsidP="005A1213">
            <w:pPr>
              <w:jc w:val="center"/>
            </w:pPr>
            <w:r>
              <w:rPr>
                <w:sz w:val="22"/>
              </w:rPr>
              <w:t>SI</w:t>
            </w:r>
          </w:p>
        </w:tc>
      </w:tr>
      <w:tr w:rsidR="00015FCF" w14:paraId="5AA68531" w14:textId="77777777" w:rsidTr="00C26A04">
        <w:trPr>
          <w:trHeight w:val="279"/>
        </w:trPr>
        <w:tc>
          <w:tcPr>
            <w:tcW w:w="8364" w:type="dxa"/>
          </w:tcPr>
          <w:p w14:paraId="1653C98E" w14:textId="77777777" w:rsidR="00015FCF" w:rsidRDefault="00015FCF" w:rsidP="005A1213">
            <w:r>
              <w:rPr>
                <w:sz w:val="22"/>
              </w:rPr>
              <w:t xml:space="preserve">Obblighi e requisiti minimi dello sportello fisico e </w:t>
            </w:r>
            <w:r>
              <w:rPr>
                <w:i/>
                <w:iCs/>
                <w:sz w:val="22"/>
              </w:rPr>
              <w:t xml:space="preserve">online </w:t>
            </w:r>
            <w:r>
              <w:rPr>
                <w:sz w:val="22"/>
              </w:rPr>
              <w:t xml:space="preserve">di cui all’Articolo 19 e all’Articolo 22 </w:t>
            </w:r>
          </w:p>
        </w:tc>
        <w:tc>
          <w:tcPr>
            <w:tcW w:w="1275" w:type="dxa"/>
          </w:tcPr>
          <w:p w14:paraId="2767F81F" w14:textId="77777777" w:rsidR="00015FCF" w:rsidRDefault="00015FCF" w:rsidP="005A1213">
            <w:pPr>
              <w:jc w:val="center"/>
            </w:pPr>
            <w:r>
              <w:rPr>
                <w:sz w:val="22"/>
              </w:rPr>
              <w:t>n.a.</w:t>
            </w:r>
            <w:r>
              <w:rPr>
                <w:rStyle w:val="Rimandonotaapidipagina"/>
                <w:sz w:val="22"/>
              </w:rPr>
              <w:footnoteReference w:id="1"/>
            </w:r>
          </w:p>
        </w:tc>
      </w:tr>
      <w:tr w:rsidR="00015FCF" w14:paraId="6FA99EA5" w14:textId="77777777" w:rsidTr="00C26A04">
        <w:trPr>
          <w:trHeight w:val="300"/>
        </w:trPr>
        <w:tc>
          <w:tcPr>
            <w:tcW w:w="8364" w:type="dxa"/>
          </w:tcPr>
          <w:p w14:paraId="41509107" w14:textId="77777777" w:rsidR="00015FCF" w:rsidRDefault="00015FCF" w:rsidP="005A1213">
            <w:r>
              <w:rPr>
                <w:sz w:val="22"/>
              </w:rPr>
              <w:t xml:space="preserve">Obblighi di servizio telefonico di cui all’Articolo 20 e all’Articolo 22 </w:t>
            </w:r>
          </w:p>
        </w:tc>
        <w:tc>
          <w:tcPr>
            <w:tcW w:w="1275" w:type="dxa"/>
          </w:tcPr>
          <w:p w14:paraId="4AD8866B" w14:textId="77777777" w:rsidR="00015FCF" w:rsidRDefault="00015FCF" w:rsidP="005A1213">
            <w:pPr>
              <w:jc w:val="center"/>
            </w:pPr>
            <w:r>
              <w:rPr>
                <w:sz w:val="22"/>
              </w:rPr>
              <w:t>SI</w:t>
            </w:r>
          </w:p>
        </w:tc>
      </w:tr>
    </w:tbl>
    <w:p w14:paraId="59380FBC" w14:textId="77777777" w:rsidR="00015FCF" w:rsidRDefault="00015FCF" w:rsidP="00015FCF"/>
    <w:p w14:paraId="14D8F497" w14:textId="40442182" w:rsidR="00C26A04" w:rsidRPr="00665BCB" w:rsidRDefault="000A5EED" w:rsidP="00015FCF">
      <w:pPr>
        <w:jc w:val="both"/>
      </w:pPr>
      <w:r w:rsidRPr="00665BCB">
        <w:t xml:space="preserve">Tutti i riferimenti indicati nella precedente tabella sono riferiti all’Allegato 1 alla Deliberazione 15/2022 del 18 gennaio 2022. </w:t>
      </w:r>
      <w:r w:rsidR="00C26A04" w:rsidRPr="00665BCB">
        <w:t>L’Ente Territorialmente Competente non ha previsto al momento standard ulteriori o migliorativi</w:t>
      </w:r>
      <w:r w:rsidRPr="00665BCB">
        <w:t>.</w:t>
      </w:r>
    </w:p>
    <w:p w14:paraId="05B07C89" w14:textId="60652903" w:rsidR="00901D91" w:rsidRDefault="00015FCF" w:rsidP="00015FCF">
      <w:pPr>
        <w:jc w:val="both"/>
      </w:pPr>
      <w:r>
        <w:t xml:space="preserve"> </w:t>
      </w:r>
    </w:p>
    <w:p w14:paraId="4D81C6F5" w14:textId="78E20BC9" w:rsidR="00901D91" w:rsidRDefault="00901D91" w:rsidP="00FE6BF2">
      <w:r>
        <w:br w:type="page"/>
      </w:r>
    </w:p>
    <w:p w14:paraId="13EC2C16" w14:textId="6B5EB07F" w:rsidR="0003062D" w:rsidRPr="00E816AC" w:rsidRDefault="00017AD9" w:rsidP="006E3860">
      <w:pPr>
        <w:pStyle w:val="Titolo1"/>
        <w:numPr>
          <w:ilvl w:val="0"/>
          <w:numId w:val="4"/>
        </w:numPr>
        <w:ind w:left="426"/>
        <w:jc w:val="both"/>
        <w:rPr>
          <w:spacing w:val="-10"/>
          <w:kern w:val="28"/>
          <w:sz w:val="56"/>
          <w:szCs w:val="56"/>
        </w:rPr>
      </w:pPr>
      <w:bookmarkStart w:id="19" w:name="_Toc121998684"/>
      <w:r>
        <w:lastRenderedPageBreak/>
        <w:t xml:space="preserve">Modalità </w:t>
      </w:r>
      <w:r w:rsidR="00F52280">
        <w:t xml:space="preserve">di </w:t>
      </w:r>
      <w:r w:rsidR="00393A5E">
        <w:t>erogazione del</w:t>
      </w:r>
      <w:r>
        <w:t xml:space="preserve"> servizi</w:t>
      </w:r>
      <w:r w:rsidR="00393A5E">
        <w:t>o</w:t>
      </w:r>
      <w:r w:rsidR="00CB6DAC">
        <w:t xml:space="preserve"> di Gestione </w:t>
      </w:r>
      <w:r w:rsidR="000A5EED" w:rsidRPr="006E3860">
        <w:t xml:space="preserve">della </w:t>
      </w:r>
      <w:r w:rsidR="00CB6DAC" w:rsidRPr="006E3860">
        <w:t>Tariffa e Rapporto con gli Utenti</w:t>
      </w:r>
      <w:bookmarkEnd w:id="19"/>
    </w:p>
    <w:p w14:paraId="3D2D3126" w14:textId="10EB359E" w:rsidR="00017AD9" w:rsidRPr="007009BB" w:rsidRDefault="00017AD9" w:rsidP="00F45C37">
      <w:pPr>
        <w:jc w:val="both"/>
      </w:pPr>
    </w:p>
    <w:p w14:paraId="70B28E86" w14:textId="243191EB" w:rsidR="00BA5422" w:rsidRDefault="00BA5422" w:rsidP="00BA5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Nel Comune di </w:t>
      </w:r>
      <w:r w:rsidR="0036110E">
        <w:rPr>
          <w:rFonts w:ascii="Calibri" w:hAnsi="Calibri" w:cs="Calibri"/>
          <w:szCs w:val="24"/>
        </w:rPr>
        <w:t>Robbio</w:t>
      </w:r>
      <w:r>
        <w:rPr>
          <w:rFonts w:ascii="Calibri" w:hAnsi="Calibri" w:cs="Calibri"/>
          <w:szCs w:val="24"/>
        </w:rPr>
        <w:t xml:space="preserve"> il servizio di gestione della TARI è ricompreso tra le competenze dell’ufficio tributi; </w:t>
      </w:r>
      <w:r w:rsidR="004E05FD">
        <w:rPr>
          <w:rFonts w:ascii="Calibri" w:hAnsi="Calibri" w:cs="Calibri"/>
          <w:szCs w:val="24"/>
        </w:rPr>
        <w:t xml:space="preserve">è presente una specifica risorsa </w:t>
      </w:r>
      <w:r>
        <w:rPr>
          <w:rFonts w:ascii="Calibri" w:hAnsi="Calibri" w:cs="Calibri"/>
          <w:szCs w:val="24"/>
        </w:rPr>
        <w:t>destinat</w:t>
      </w:r>
      <w:r w:rsidR="004E05FD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 xml:space="preserve"> alla TARI</w:t>
      </w:r>
      <w:r w:rsidR="004E05FD">
        <w:rPr>
          <w:rFonts w:ascii="Calibri" w:hAnsi="Calibri" w:cs="Calibri"/>
          <w:szCs w:val="24"/>
        </w:rPr>
        <w:t xml:space="preserve"> che conduce principalmente le attività del suddetto ufficio</w:t>
      </w:r>
      <w:r>
        <w:rPr>
          <w:rFonts w:ascii="Calibri" w:hAnsi="Calibri" w:cs="Calibri"/>
          <w:szCs w:val="24"/>
        </w:rPr>
        <w:t>.</w:t>
      </w:r>
    </w:p>
    <w:p w14:paraId="3470D948" w14:textId="77777777" w:rsidR="00502A76" w:rsidRDefault="00502A76" w:rsidP="00BA5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14:paraId="20A4CA13" w14:textId="29441247" w:rsidR="00EA730D" w:rsidRDefault="00EA730D" w:rsidP="00BA5422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  <w:lang w:eastAsia="it-IT"/>
        </w:rPr>
      </w:pPr>
      <w:r w:rsidRPr="00703396">
        <w:rPr>
          <w:rFonts w:cstheme="minorHAnsi"/>
          <w:szCs w:val="24"/>
          <w:lang w:eastAsia="it-IT"/>
        </w:rPr>
        <w:t xml:space="preserve">La gestione del </w:t>
      </w:r>
      <w:r w:rsidRPr="007D3A34">
        <w:rPr>
          <w:rFonts w:cstheme="minorHAnsi"/>
          <w:szCs w:val="24"/>
          <w:lang w:eastAsia="it-IT"/>
        </w:rPr>
        <w:t>rapporto con gli utenti, per quanto attiene la tariffazione del servizio, viene erogata mediante un servizio di sportello che osserva</w:t>
      </w:r>
      <w:r w:rsidR="00093A63">
        <w:rPr>
          <w:rFonts w:cstheme="minorHAnsi"/>
          <w:szCs w:val="24"/>
          <w:lang w:eastAsia="it-IT"/>
        </w:rPr>
        <w:t xml:space="preserve"> preferibilmente</w:t>
      </w:r>
      <w:r w:rsidRPr="007D3A34">
        <w:rPr>
          <w:rFonts w:cstheme="minorHAnsi"/>
          <w:szCs w:val="24"/>
          <w:lang w:eastAsia="it-IT"/>
        </w:rPr>
        <w:t xml:space="preserve"> i seguenti orari: martedì</w:t>
      </w:r>
      <w:r w:rsidR="00EB58D2">
        <w:rPr>
          <w:rFonts w:cstheme="minorHAnsi"/>
          <w:szCs w:val="24"/>
          <w:lang w:eastAsia="it-IT"/>
        </w:rPr>
        <w:t xml:space="preserve"> e </w:t>
      </w:r>
      <w:r w:rsidRPr="007D3A34">
        <w:rPr>
          <w:rFonts w:cstheme="minorHAnsi"/>
          <w:szCs w:val="24"/>
          <w:lang w:eastAsia="it-IT"/>
        </w:rPr>
        <w:t xml:space="preserve">giovedì dalle ore </w:t>
      </w:r>
      <w:r w:rsidR="00EB58D2">
        <w:rPr>
          <w:rFonts w:cstheme="minorHAnsi"/>
          <w:szCs w:val="24"/>
          <w:lang w:eastAsia="it-IT"/>
        </w:rPr>
        <w:t>10,00</w:t>
      </w:r>
      <w:r w:rsidRPr="007D3A34">
        <w:rPr>
          <w:rFonts w:cstheme="minorHAnsi"/>
          <w:szCs w:val="24"/>
          <w:lang w:eastAsia="it-IT"/>
        </w:rPr>
        <w:t xml:space="preserve"> alle ore 1</w:t>
      </w:r>
      <w:r w:rsidR="00EB58D2">
        <w:rPr>
          <w:rFonts w:cstheme="minorHAnsi"/>
          <w:szCs w:val="24"/>
          <w:lang w:eastAsia="it-IT"/>
        </w:rPr>
        <w:t>3,00</w:t>
      </w:r>
      <w:r w:rsidRPr="007D3A34">
        <w:rPr>
          <w:rFonts w:cstheme="minorHAnsi"/>
          <w:szCs w:val="24"/>
          <w:lang w:eastAsia="it-IT"/>
        </w:rPr>
        <w:t xml:space="preserve"> e </w:t>
      </w:r>
      <w:r w:rsidR="00EB58D2">
        <w:rPr>
          <w:rFonts w:cstheme="minorHAnsi"/>
          <w:szCs w:val="24"/>
          <w:lang w:eastAsia="it-IT"/>
        </w:rPr>
        <w:t>su richiesta dell’utenza con appuntamento</w:t>
      </w:r>
      <w:r w:rsidR="00093A63">
        <w:rPr>
          <w:rFonts w:cstheme="minorHAnsi"/>
          <w:szCs w:val="24"/>
          <w:lang w:eastAsia="it-IT"/>
        </w:rPr>
        <w:t>, in orari e giorni diversi da quelli indicati.</w:t>
      </w:r>
    </w:p>
    <w:p w14:paraId="12EE7098" w14:textId="77777777" w:rsidR="00502A76" w:rsidRPr="00BA5422" w:rsidRDefault="00502A76" w:rsidP="00BA5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14:paraId="6CE8F651" w14:textId="77777777" w:rsidR="00EA730D" w:rsidRDefault="00EA730D" w:rsidP="00EA730D">
      <w:pPr>
        <w:jc w:val="both"/>
        <w:rPr>
          <w:rFonts w:cstheme="minorHAnsi"/>
          <w:szCs w:val="24"/>
          <w:lang w:eastAsia="it-IT"/>
        </w:rPr>
      </w:pPr>
      <w:r w:rsidRPr="007D3A34">
        <w:rPr>
          <w:rFonts w:cstheme="minorHAnsi"/>
          <w:szCs w:val="24"/>
          <w:lang w:eastAsia="it-IT"/>
        </w:rPr>
        <w:t>Lo sportello telefonico è attivo negli orari di lavoro dei dipendenti, per 36 ore settimanali.</w:t>
      </w:r>
      <w:r w:rsidRPr="00703396">
        <w:rPr>
          <w:rFonts w:cstheme="minorHAnsi"/>
          <w:szCs w:val="24"/>
          <w:lang w:eastAsia="it-IT"/>
        </w:rPr>
        <w:t xml:space="preserve"> </w:t>
      </w:r>
    </w:p>
    <w:p w14:paraId="393C2C72" w14:textId="6D699A77" w:rsidR="00EA730D" w:rsidRDefault="00C347AF" w:rsidP="00C347AF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  <w:lang w:eastAsia="it-IT"/>
        </w:rPr>
      </w:pPr>
      <w:r>
        <w:rPr>
          <w:rFonts w:ascii="Calibri" w:hAnsi="Calibri" w:cs="Calibri"/>
          <w:szCs w:val="24"/>
        </w:rPr>
        <w:t xml:space="preserve">L'emissione e spedizione degli avvisi di pagamento avviene a mezzo postalizzazione ed invio attraverso ditta specializzata con consegna tramite posta massiva ordinaria.  </w:t>
      </w:r>
      <w:r w:rsidR="00EA730D" w:rsidRPr="00703396">
        <w:rPr>
          <w:rFonts w:cstheme="minorHAnsi"/>
          <w:szCs w:val="24"/>
          <w:lang w:eastAsia="it-IT"/>
        </w:rPr>
        <w:t>Le richieste ricevute dall’utenza vengono gestite ed evase in base alle vigenti disposizioni entro il termine di 30 giorni, in applicazione dell’art. 2 legge 241/1990.</w:t>
      </w:r>
    </w:p>
    <w:p w14:paraId="4A20E663" w14:textId="77777777" w:rsidR="00C347AF" w:rsidRPr="00C347AF" w:rsidRDefault="00C347AF" w:rsidP="00C347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14:paraId="6567F8EE" w14:textId="70E40C1C" w:rsidR="00B53876" w:rsidRDefault="00EA730D" w:rsidP="00EA730D">
      <w:pPr>
        <w:rPr>
          <w:rFonts w:cstheme="minorHAnsi"/>
          <w:szCs w:val="24"/>
          <w:lang w:eastAsia="it-IT"/>
        </w:rPr>
      </w:pPr>
      <w:r w:rsidRPr="00A44BB4">
        <w:rPr>
          <w:rFonts w:cstheme="minorHAnsi"/>
          <w:szCs w:val="24"/>
          <w:lang w:eastAsia="it-IT"/>
        </w:rPr>
        <w:t xml:space="preserve">Per la predisposizione del PEF, il Comune di </w:t>
      </w:r>
      <w:r w:rsidR="0022678A">
        <w:rPr>
          <w:rFonts w:cstheme="minorHAnsi"/>
          <w:szCs w:val="24"/>
          <w:lang w:eastAsia="it-IT"/>
        </w:rPr>
        <w:t>Robbio</w:t>
      </w:r>
      <w:r w:rsidRPr="00A44BB4">
        <w:rPr>
          <w:rFonts w:cstheme="minorHAnsi"/>
          <w:szCs w:val="24"/>
          <w:lang w:eastAsia="it-IT"/>
        </w:rPr>
        <w:t xml:space="preserve"> si avvale del supporto di un consulente esterno</w:t>
      </w:r>
      <w:r w:rsidR="00B53876" w:rsidRPr="007009BB">
        <w:rPr>
          <w:rFonts w:cstheme="minorHAnsi"/>
          <w:szCs w:val="24"/>
          <w:lang w:eastAsia="it-IT"/>
        </w:rPr>
        <w:t>.</w:t>
      </w:r>
    </w:p>
    <w:p w14:paraId="20EC3BA5" w14:textId="5BCD059B" w:rsidR="00CB6DAC" w:rsidRDefault="00C51970" w:rsidP="00F45C37">
      <w:pPr>
        <w:jc w:val="both"/>
      </w:pPr>
      <w:r w:rsidRPr="00F32E08">
        <w:t xml:space="preserve">Il servizio di gestione tariffa e rapporto con gli utenti si compone di una serie di attività riassunte nella tabella che segue. </w:t>
      </w:r>
      <w:r w:rsidR="00CB6DAC" w:rsidRPr="00EC1AAA">
        <w:t>Per ogni attività erogata nell’ambito della gestione della TARI è indicato un parametro di valutazione della qualità del servizio reso. Al momento non sono previsti standard di qualità specifici da conseguire o livelli a cui associare una valutazione: essi potranno essere successivamente introdotti per decisione dell’Ente Territorialmente Competente o direttamente dall’Autorità. Potranno comunque essere individuate misurazioni a campione per valutare l’efficacia delle attività condotte.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6658"/>
        <w:gridCol w:w="2835"/>
      </w:tblGrid>
      <w:tr w:rsidR="00CB6DAC" w:rsidRPr="008121BC" w14:paraId="2EE2C007" w14:textId="77777777" w:rsidTr="00CB6DAC">
        <w:trPr>
          <w:trHeight w:val="269"/>
          <w:tblHeader/>
        </w:trPr>
        <w:tc>
          <w:tcPr>
            <w:tcW w:w="6658" w:type="dxa"/>
            <w:shd w:val="clear" w:color="auto" w:fill="002060"/>
          </w:tcPr>
          <w:p w14:paraId="5D376A76" w14:textId="77777777" w:rsidR="00CB6DAC" w:rsidRPr="008121BC" w:rsidRDefault="00CB6DAC" w:rsidP="00890EB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Cs w:val="24"/>
                <w:lang w:eastAsia="it-IT"/>
              </w:rPr>
            </w:pPr>
            <w:r w:rsidRPr="008121BC">
              <w:rPr>
                <w:rFonts w:eastAsia="Times New Roman" w:cstheme="minorHAnsi"/>
                <w:b/>
                <w:bCs/>
                <w:color w:val="FFFFFF" w:themeColor="background1"/>
                <w:szCs w:val="24"/>
                <w:lang w:eastAsia="it-IT"/>
              </w:rPr>
              <w:t>Servizi</w:t>
            </w:r>
          </w:p>
        </w:tc>
        <w:tc>
          <w:tcPr>
            <w:tcW w:w="2835" w:type="dxa"/>
            <w:shd w:val="clear" w:color="auto" w:fill="002060"/>
          </w:tcPr>
          <w:p w14:paraId="31FC15F2" w14:textId="77777777" w:rsidR="00CB6DAC" w:rsidRPr="008121BC" w:rsidRDefault="00CB6DAC" w:rsidP="00890EB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Cs w:val="24"/>
                <w:lang w:eastAsia="it-IT"/>
              </w:rPr>
            </w:pPr>
            <w:r w:rsidRPr="008121BC">
              <w:rPr>
                <w:rFonts w:eastAsia="Times New Roman" w:cstheme="minorHAnsi"/>
                <w:b/>
                <w:bCs/>
                <w:color w:val="FFFFFF" w:themeColor="background1"/>
                <w:szCs w:val="24"/>
                <w:lang w:eastAsia="it-IT"/>
              </w:rPr>
              <w:t>Indicatore di qualità</w:t>
            </w:r>
          </w:p>
        </w:tc>
      </w:tr>
      <w:tr w:rsidR="00CB6DAC" w:rsidRPr="009E495D" w14:paraId="62C610D1" w14:textId="77777777" w:rsidTr="0052769F">
        <w:trPr>
          <w:trHeight w:val="20"/>
        </w:trPr>
        <w:tc>
          <w:tcPr>
            <w:tcW w:w="6658" w:type="dxa"/>
            <w:shd w:val="clear" w:color="auto" w:fill="CCECFF"/>
          </w:tcPr>
          <w:p w14:paraId="4BEDA196" w14:textId="77777777" w:rsidR="00CB6DAC" w:rsidRPr="009E495D" w:rsidRDefault="00CB6DAC" w:rsidP="00F45C37">
            <w:pPr>
              <w:spacing w:after="0"/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 w:rsidRPr="00B95DCF">
              <w:rPr>
                <w:rFonts w:cstheme="minorHAnsi"/>
                <w:szCs w:val="24"/>
              </w:rPr>
              <w:t xml:space="preserve">Rilascio di informazioni di carattere generale </w:t>
            </w:r>
            <w:r w:rsidRPr="009E495D">
              <w:rPr>
                <w:rFonts w:cstheme="minorHAnsi"/>
                <w:szCs w:val="24"/>
              </w:rPr>
              <w:t>(con riguardo a tariffe, scadenze, adempimenti)</w:t>
            </w:r>
          </w:p>
        </w:tc>
        <w:tc>
          <w:tcPr>
            <w:tcW w:w="2835" w:type="dxa"/>
            <w:shd w:val="clear" w:color="auto" w:fill="CCECFF"/>
            <w:vAlign w:val="center"/>
          </w:tcPr>
          <w:p w14:paraId="765CD78C" w14:textId="77777777" w:rsidR="00CB6DAC" w:rsidRPr="008121BC" w:rsidRDefault="00CB6DAC" w:rsidP="00F45C37">
            <w:pPr>
              <w:spacing w:after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121BC">
              <w:rPr>
                <w:rFonts w:cstheme="minorHAnsi"/>
                <w:i/>
                <w:iCs/>
                <w:sz w:val="20"/>
                <w:szCs w:val="20"/>
              </w:rPr>
              <w:t>Tempo di riscontro dalla ricezione della richiesta</w:t>
            </w:r>
          </w:p>
        </w:tc>
      </w:tr>
      <w:tr w:rsidR="00CB6DAC" w:rsidRPr="009E495D" w14:paraId="7BE0A59B" w14:textId="77777777" w:rsidTr="0052769F">
        <w:trPr>
          <w:trHeight w:val="20"/>
        </w:trPr>
        <w:tc>
          <w:tcPr>
            <w:tcW w:w="6658" w:type="dxa"/>
            <w:shd w:val="clear" w:color="auto" w:fill="CCECFF"/>
          </w:tcPr>
          <w:p w14:paraId="637FFE9C" w14:textId="77777777" w:rsidR="00CB6DAC" w:rsidRPr="00D04F74" w:rsidRDefault="00CB6DAC" w:rsidP="00F45C37">
            <w:pPr>
              <w:spacing w:after="0"/>
              <w:jc w:val="both"/>
              <w:rPr>
                <w:rFonts w:cstheme="minorHAnsi"/>
                <w:szCs w:val="24"/>
              </w:rPr>
            </w:pPr>
            <w:r w:rsidRPr="009E495D">
              <w:rPr>
                <w:rFonts w:cstheme="minorHAnsi"/>
                <w:szCs w:val="24"/>
              </w:rPr>
              <w:t>Rilascio di informazioni relative alla specifica situazione del contribuente</w:t>
            </w:r>
            <w:r>
              <w:rPr>
                <w:rFonts w:cstheme="minorHAnsi"/>
                <w:szCs w:val="24"/>
              </w:rPr>
              <w:t xml:space="preserve"> in forma scritta, telefonica o via email</w:t>
            </w:r>
          </w:p>
        </w:tc>
        <w:tc>
          <w:tcPr>
            <w:tcW w:w="2835" w:type="dxa"/>
            <w:shd w:val="clear" w:color="auto" w:fill="CCECFF"/>
            <w:vAlign w:val="center"/>
          </w:tcPr>
          <w:p w14:paraId="40579AF6" w14:textId="77777777" w:rsidR="00CB6DAC" w:rsidRPr="008121BC" w:rsidRDefault="00CB6DAC" w:rsidP="00F45C37">
            <w:pPr>
              <w:spacing w:after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121BC">
              <w:rPr>
                <w:rFonts w:cstheme="minorHAnsi"/>
                <w:i/>
                <w:iCs/>
                <w:sz w:val="20"/>
                <w:szCs w:val="20"/>
              </w:rPr>
              <w:t>Tempo di riscontro dalla ricezione della richiesta</w:t>
            </w:r>
          </w:p>
        </w:tc>
      </w:tr>
      <w:tr w:rsidR="00CB6DAC" w:rsidRPr="009E495D" w14:paraId="1A27A7B9" w14:textId="77777777" w:rsidTr="0052769F">
        <w:trPr>
          <w:trHeight w:val="20"/>
        </w:trPr>
        <w:tc>
          <w:tcPr>
            <w:tcW w:w="6658" w:type="dxa"/>
            <w:shd w:val="clear" w:color="auto" w:fill="CCECFF"/>
          </w:tcPr>
          <w:p w14:paraId="743E2E21" w14:textId="77777777" w:rsidR="00CB6DAC" w:rsidRPr="00B95DCF" w:rsidRDefault="00CB6DAC" w:rsidP="00F45C37">
            <w:pPr>
              <w:spacing w:after="0"/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 w:rsidRPr="00B95DCF">
              <w:rPr>
                <w:rFonts w:cstheme="minorHAnsi"/>
                <w:szCs w:val="24"/>
              </w:rPr>
              <w:t>Risposta a proposte o suggerimenti presentati in forma scritta</w:t>
            </w:r>
          </w:p>
        </w:tc>
        <w:tc>
          <w:tcPr>
            <w:tcW w:w="2835" w:type="dxa"/>
            <w:shd w:val="clear" w:color="auto" w:fill="CCECFF"/>
            <w:vAlign w:val="center"/>
          </w:tcPr>
          <w:p w14:paraId="107CADE3" w14:textId="77777777" w:rsidR="00CB6DAC" w:rsidRPr="008121BC" w:rsidRDefault="00CB6DAC" w:rsidP="00F45C37">
            <w:pPr>
              <w:spacing w:after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121BC">
              <w:rPr>
                <w:rFonts w:cstheme="minorHAnsi"/>
                <w:i/>
                <w:iCs/>
                <w:sz w:val="20"/>
                <w:szCs w:val="20"/>
              </w:rPr>
              <w:t>Tempo di riscontro dalla ricezione della richiesta</w:t>
            </w:r>
          </w:p>
        </w:tc>
      </w:tr>
      <w:tr w:rsidR="00CB6DAC" w:rsidRPr="009E495D" w14:paraId="6F719605" w14:textId="77777777" w:rsidTr="0052769F">
        <w:trPr>
          <w:trHeight w:val="20"/>
        </w:trPr>
        <w:tc>
          <w:tcPr>
            <w:tcW w:w="6658" w:type="dxa"/>
            <w:shd w:val="clear" w:color="auto" w:fill="CCECFF"/>
          </w:tcPr>
          <w:p w14:paraId="7E5A17E7" w14:textId="77777777" w:rsidR="00CB6DAC" w:rsidRPr="00B95DCF" w:rsidRDefault="00CB6DAC" w:rsidP="00F45C37">
            <w:pPr>
              <w:spacing w:after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Inoltro delle istanze/richieste inerenti alla gestione del servizio di raccolta rifiuti e spazzamento stradale al Gestore preposto</w:t>
            </w:r>
          </w:p>
        </w:tc>
        <w:tc>
          <w:tcPr>
            <w:tcW w:w="2835" w:type="dxa"/>
            <w:shd w:val="clear" w:color="auto" w:fill="CCECFF"/>
            <w:vAlign w:val="center"/>
          </w:tcPr>
          <w:p w14:paraId="615405DB" w14:textId="77777777" w:rsidR="00CB6DAC" w:rsidRPr="008121BC" w:rsidRDefault="00CB6DAC" w:rsidP="00F45C37">
            <w:pPr>
              <w:spacing w:after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121BC">
              <w:rPr>
                <w:rFonts w:cstheme="minorHAnsi"/>
                <w:i/>
                <w:iCs/>
                <w:sz w:val="20"/>
                <w:szCs w:val="20"/>
              </w:rPr>
              <w:t>Tempo per l’inoltro dalla ricezione della richiesta</w:t>
            </w:r>
          </w:p>
        </w:tc>
      </w:tr>
      <w:tr w:rsidR="00CB6DAC" w:rsidRPr="009E495D" w14:paraId="64997F03" w14:textId="77777777" w:rsidTr="0052769F">
        <w:trPr>
          <w:trHeight w:val="20"/>
        </w:trPr>
        <w:tc>
          <w:tcPr>
            <w:tcW w:w="6658" w:type="dxa"/>
            <w:shd w:val="clear" w:color="auto" w:fill="CCFFCC"/>
          </w:tcPr>
          <w:p w14:paraId="73953A7F" w14:textId="77777777" w:rsidR="00CB6DAC" w:rsidRPr="00B95DCF" w:rsidRDefault="00CB6DAC" w:rsidP="00F45C37">
            <w:pPr>
              <w:spacing w:after="0"/>
              <w:jc w:val="both"/>
              <w:rPr>
                <w:rFonts w:cstheme="minorHAnsi"/>
                <w:szCs w:val="24"/>
              </w:rPr>
            </w:pPr>
            <w:r w:rsidRPr="00B95DCF">
              <w:rPr>
                <w:rFonts w:eastAsia="Times New Roman" w:cstheme="minorHAnsi"/>
                <w:szCs w:val="24"/>
                <w:lang w:eastAsia="it-IT"/>
              </w:rPr>
              <w:t>Gestione delle dichiarazioni di apertura, variazione e cessazione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3EF1FD91" w14:textId="77777777" w:rsidR="00CB6DAC" w:rsidRPr="008121BC" w:rsidRDefault="00CB6DAC" w:rsidP="00F45C37">
            <w:pPr>
              <w:spacing w:after="0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8121BC">
              <w:rPr>
                <w:rFonts w:cstheme="minorHAnsi"/>
                <w:i/>
                <w:iCs/>
                <w:sz w:val="20"/>
                <w:szCs w:val="20"/>
              </w:rPr>
              <w:t>Tempo di inserimento a software dalla presentazione della dichiarazione</w:t>
            </w:r>
          </w:p>
        </w:tc>
      </w:tr>
      <w:tr w:rsidR="00CB6DAC" w:rsidRPr="009E495D" w14:paraId="1CFE1350" w14:textId="77777777" w:rsidTr="0052769F">
        <w:trPr>
          <w:trHeight w:val="20"/>
        </w:trPr>
        <w:tc>
          <w:tcPr>
            <w:tcW w:w="6658" w:type="dxa"/>
            <w:shd w:val="clear" w:color="auto" w:fill="CCFFCC"/>
          </w:tcPr>
          <w:p w14:paraId="6FAA8009" w14:textId="77777777" w:rsidR="00CB6DAC" w:rsidRPr="00B95DCF" w:rsidRDefault="00CB6DAC" w:rsidP="00F45C37">
            <w:pPr>
              <w:spacing w:after="0"/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 w:rsidRPr="00B95DCF">
              <w:rPr>
                <w:rFonts w:cstheme="minorHAnsi"/>
                <w:szCs w:val="24"/>
              </w:rPr>
              <w:t>Gestione delle istanze per riduzioni/agevolazioni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7AFED353" w14:textId="77777777" w:rsidR="00CB6DAC" w:rsidRPr="008121BC" w:rsidRDefault="00CB6DAC" w:rsidP="00F45C37">
            <w:pPr>
              <w:spacing w:after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121BC">
              <w:rPr>
                <w:rFonts w:cstheme="minorHAnsi"/>
                <w:i/>
                <w:iCs/>
                <w:sz w:val="20"/>
                <w:szCs w:val="20"/>
              </w:rPr>
              <w:t>Tempo di inserimento a software dalla presentazione della dichiarazione</w:t>
            </w:r>
          </w:p>
        </w:tc>
      </w:tr>
      <w:tr w:rsidR="00CB6DAC" w:rsidRPr="009E495D" w14:paraId="29914752" w14:textId="77777777" w:rsidTr="0052769F">
        <w:trPr>
          <w:trHeight w:val="20"/>
        </w:trPr>
        <w:tc>
          <w:tcPr>
            <w:tcW w:w="6658" w:type="dxa"/>
            <w:shd w:val="clear" w:color="auto" w:fill="CCFFCC"/>
          </w:tcPr>
          <w:p w14:paraId="5A3796CA" w14:textId="77777777" w:rsidR="00CB6DAC" w:rsidRDefault="00CB6DAC" w:rsidP="00F45C37">
            <w:pPr>
              <w:spacing w:after="0"/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>
              <w:rPr>
                <w:rFonts w:eastAsia="Times New Roman" w:cstheme="minorHAnsi"/>
                <w:szCs w:val="24"/>
                <w:lang w:eastAsia="it-IT"/>
              </w:rPr>
              <w:t>Verifica sulle informazioni dichiarate dai contribuenti, anche mediante incrocio con altre banche dati disponibili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21A09C1A" w14:textId="77777777" w:rsidR="00CB6DAC" w:rsidRPr="008121BC" w:rsidRDefault="00CB6DAC" w:rsidP="00F45C37">
            <w:pPr>
              <w:spacing w:after="0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8121BC">
              <w:rPr>
                <w:rFonts w:cstheme="minorHAnsi"/>
                <w:i/>
                <w:iCs/>
                <w:sz w:val="20"/>
                <w:szCs w:val="20"/>
              </w:rPr>
              <w:t>Tempo di inserimento a software dalla presentazione della dichiarazione</w:t>
            </w:r>
          </w:p>
        </w:tc>
      </w:tr>
      <w:tr w:rsidR="00CB6DAC" w:rsidRPr="009E495D" w14:paraId="6BE9FAB2" w14:textId="77777777" w:rsidTr="0052769F">
        <w:trPr>
          <w:trHeight w:val="20"/>
        </w:trPr>
        <w:tc>
          <w:tcPr>
            <w:tcW w:w="6658" w:type="dxa"/>
            <w:shd w:val="clear" w:color="auto" w:fill="CCFFCC"/>
          </w:tcPr>
          <w:p w14:paraId="4569DF45" w14:textId="77777777" w:rsidR="00CB6DAC" w:rsidRPr="00B95DCF" w:rsidRDefault="00CB6DAC" w:rsidP="00F45C37">
            <w:pPr>
              <w:spacing w:after="0"/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>
              <w:rPr>
                <w:rFonts w:eastAsia="Times New Roman" w:cstheme="minorHAnsi"/>
                <w:szCs w:val="24"/>
                <w:lang w:eastAsia="it-IT"/>
              </w:rPr>
              <w:lastRenderedPageBreak/>
              <w:t xml:space="preserve">Predisposizione dei riscontri alle dichiarazioni/istanze di riduzione pervenute dai contribuenti 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09A722AD" w14:textId="77777777" w:rsidR="00CB6DAC" w:rsidRPr="008121BC" w:rsidRDefault="00CB6DAC" w:rsidP="00F45C37">
            <w:pPr>
              <w:spacing w:after="0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8121BC">
              <w:rPr>
                <w:rFonts w:cstheme="minorHAnsi"/>
                <w:i/>
                <w:iCs/>
                <w:sz w:val="20"/>
                <w:szCs w:val="20"/>
              </w:rPr>
              <w:t>Tempo di riscontro dalla ricezione della dichiarazione</w:t>
            </w:r>
          </w:p>
        </w:tc>
      </w:tr>
      <w:tr w:rsidR="00CB6DAC" w:rsidRPr="009E495D" w14:paraId="0439681C" w14:textId="77777777" w:rsidTr="0052769F">
        <w:trPr>
          <w:trHeight w:val="20"/>
        </w:trPr>
        <w:tc>
          <w:tcPr>
            <w:tcW w:w="6658" w:type="dxa"/>
            <w:shd w:val="clear" w:color="auto" w:fill="FFCCCC"/>
          </w:tcPr>
          <w:p w14:paraId="0A43732E" w14:textId="77777777" w:rsidR="00CB6DAC" w:rsidRPr="00B95DCF" w:rsidRDefault="00CB6DAC" w:rsidP="00F45C37">
            <w:pPr>
              <w:spacing w:after="0"/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 w:rsidRPr="00B95DCF">
              <w:rPr>
                <w:rFonts w:cstheme="minorHAnsi"/>
                <w:szCs w:val="24"/>
              </w:rPr>
              <w:t xml:space="preserve">Emissione avvisi di pagamento </w:t>
            </w:r>
            <w:r>
              <w:rPr>
                <w:rFonts w:cstheme="minorHAnsi"/>
                <w:szCs w:val="24"/>
              </w:rPr>
              <w:t>ordinari e relativo invio mediante posta ordinaria o posta elettronica</w:t>
            </w:r>
          </w:p>
        </w:tc>
        <w:tc>
          <w:tcPr>
            <w:tcW w:w="2835" w:type="dxa"/>
            <w:shd w:val="clear" w:color="auto" w:fill="FFCCCC"/>
            <w:vAlign w:val="center"/>
          </w:tcPr>
          <w:p w14:paraId="58A67092" w14:textId="49560581" w:rsidR="00CB6DAC" w:rsidRPr="008121BC" w:rsidRDefault="00CB6DAC" w:rsidP="00F45C37">
            <w:pPr>
              <w:spacing w:after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121BC">
              <w:rPr>
                <w:rFonts w:cstheme="minorHAnsi"/>
                <w:i/>
                <w:iCs/>
                <w:sz w:val="20"/>
                <w:szCs w:val="20"/>
              </w:rPr>
              <w:t>Rispetto</w:t>
            </w:r>
            <w:r w:rsidR="00890EB6">
              <w:rPr>
                <w:rFonts w:cstheme="minorHAnsi"/>
                <w:i/>
                <w:iCs/>
                <w:sz w:val="20"/>
                <w:szCs w:val="20"/>
              </w:rPr>
              <w:t xml:space="preserve"> del</w:t>
            </w:r>
            <w:r w:rsidRPr="008121BC">
              <w:rPr>
                <w:rFonts w:cstheme="minorHAnsi"/>
                <w:i/>
                <w:iCs/>
                <w:sz w:val="20"/>
                <w:szCs w:val="20"/>
              </w:rPr>
              <w:t xml:space="preserve"> calendario di distribuzione avvisi di pagamento</w:t>
            </w:r>
          </w:p>
        </w:tc>
      </w:tr>
      <w:tr w:rsidR="00CB6DAC" w:rsidRPr="009E495D" w14:paraId="7037827D" w14:textId="77777777" w:rsidTr="0052769F">
        <w:trPr>
          <w:trHeight w:val="20"/>
        </w:trPr>
        <w:tc>
          <w:tcPr>
            <w:tcW w:w="6658" w:type="dxa"/>
            <w:shd w:val="clear" w:color="auto" w:fill="FFCCCC"/>
          </w:tcPr>
          <w:p w14:paraId="295BB032" w14:textId="77777777" w:rsidR="00CB6DAC" w:rsidRPr="00B95DCF" w:rsidRDefault="00CB6DAC" w:rsidP="00F45C37">
            <w:pPr>
              <w:spacing w:after="0"/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>
              <w:rPr>
                <w:rFonts w:eastAsia="Times New Roman" w:cstheme="minorHAnsi"/>
                <w:szCs w:val="24"/>
                <w:lang w:eastAsia="it-IT"/>
              </w:rPr>
              <w:t xml:space="preserve">Riscontri presso lo sportello fisico relativi al </w:t>
            </w:r>
            <w:r w:rsidRPr="00B95DCF">
              <w:rPr>
                <w:rFonts w:eastAsia="Times New Roman" w:cstheme="minorHAnsi"/>
                <w:szCs w:val="24"/>
                <w:lang w:eastAsia="it-IT"/>
              </w:rPr>
              <w:t>riesame delle posizioni</w:t>
            </w:r>
            <w:r>
              <w:rPr>
                <w:rFonts w:eastAsia="Times New Roman" w:cstheme="minorHAnsi"/>
                <w:szCs w:val="24"/>
                <w:lang w:eastAsia="it-IT"/>
              </w:rPr>
              <w:t xml:space="preserve"> tributarie ed ai reclami presentati direttamente dall’utenza</w:t>
            </w:r>
          </w:p>
        </w:tc>
        <w:tc>
          <w:tcPr>
            <w:tcW w:w="2835" w:type="dxa"/>
            <w:shd w:val="clear" w:color="auto" w:fill="FFCCCC"/>
            <w:vAlign w:val="center"/>
          </w:tcPr>
          <w:p w14:paraId="3D834694" w14:textId="77777777" w:rsidR="00CB6DAC" w:rsidRPr="008121BC" w:rsidRDefault="00CB6DAC" w:rsidP="00F45C37">
            <w:pPr>
              <w:spacing w:after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121BC">
              <w:rPr>
                <w:rFonts w:cstheme="minorHAnsi"/>
                <w:i/>
                <w:iCs/>
                <w:sz w:val="20"/>
                <w:szCs w:val="20"/>
              </w:rPr>
              <w:t>Minor quantità di utenti non ricevuti allo sportello</w:t>
            </w:r>
          </w:p>
        </w:tc>
      </w:tr>
      <w:tr w:rsidR="00CB6DAC" w:rsidRPr="009E495D" w14:paraId="4530423F" w14:textId="77777777" w:rsidTr="0052769F">
        <w:trPr>
          <w:trHeight w:val="20"/>
        </w:trPr>
        <w:tc>
          <w:tcPr>
            <w:tcW w:w="6658" w:type="dxa"/>
            <w:shd w:val="clear" w:color="auto" w:fill="FFCCCC"/>
          </w:tcPr>
          <w:p w14:paraId="1C95F6BD" w14:textId="77777777" w:rsidR="00CB6DAC" w:rsidRPr="00B95DCF" w:rsidRDefault="00CB6DAC" w:rsidP="00F45C37">
            <w:pPr>
              <w:spacing w:after="0"/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>
              <w:rPr>
                <w:rFonts w:eastAsia="Times New Roman" w:cstheme="minorHAnsi"/>
                <w:szCs w:val="24"/>
                <w:lang w:eastAsia="it-IT"/>
              </w:rPr>
              <w:t>Elaborazione di risposte motivate a</w:t>
            </w:r>
            <w:r w:rsidRPr="00B95DCF">
              <w:rPr>
                <w:rFonts w:eastAsia="Times New Roman" w:cstheme="minorHAnsi"/>
                <w:szCs w:val="24"/>
                <w:lang w:eastAsia="it-IT"/>
              </w:rPr>
              <w:t xml:space="preserve"> reclami</w:t>
            </w:r>
            <w:r>
              <w:rPr>
                <w:rFonts w:eastAsia="Times New Roman" w:cstheme="minorHAnsi"/>
                <w:szCs w:val="24"/>
                <w:lang w:eastAsia="it-IT"/>
              </w:rPr>
              <w:t xml:space="preserve"> o richieste di rettifiche dell’importo addebitato</w:t>
            </w:r>
          </w:p>
        </w:tc>
        <w:tc>
          <w:tcPr>
            <w:tcW w:w="2835" w:type="dxa"/>
            <w:shd w:val="clear" w:color="auto" w:fill="FFCCCC"/>
            <w:vAlign w:val="center"/>
          </w:tcPr>
          <w:p w14:paraId="402777EB" w14:textId="77777777" w:rsidR="00CB6DAC" w:rsidRPr="008121BC" w:rsidRDefault="00CB6DAC" w:rsidP="00F45C37">
            <w:pPr>
              <w:spacing w:after="0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8121BC">
              <w:rPr>
                <w:rFonts w:cstheme="minorHAnsi"/>
                <w:i/>
                <w:iCs/>
                <w:sz w:val="20"/>
                <w:szCs w:val="20"/>
              </w:rPr>
              <w:t>Tempo di riscontro dalla ricezione della richiesta</w:t>
            </w:r>
          </w:p>
        </w:tc>
      </w:tr>
      <w:tr w:rsidR="00CB6DAC" w:rsidRPr="009E495D" w14:paraId="0D853DB1" w14:textId="77777777" w:rsidTr="0052769F">
        <w:trPr>
          <w:trHeight w:val="20"/>
        </w:trPr>
        <w:tc>
          <w:tcPr>
            <w:tcW w:w="6658" w:type="dxa"/>
            <w:shd w:val="clear" w:color="auto" w:fill="FFCCCC"/>
          </w:tcPr>
          <w:p w14:paraId="676A367D" w14:textId="77777777" w:rsidR="00CB6DAC" w:rsidRDefault="00CB6DAC" w:rsidP="00F45C37">
            <w:pPr>
              <w:spacing w:after="0"/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>
              <w:rPr>
                <w:rFonts w:eastAsia="Times New Roman" w:cstheme="minorHAnsi"/>
                <w:szCs w:val="24"/>
                <w:lang w:eastAsia="it-IT"/>
              </w:rPr>
              <w:t>Verifica dei pagamenti e individuazione delle posizioni di morosità</w:t>
            </w:r>
          </w:p>
        </w:tc>
        <w:tc>
          <w:tcPr>
            <w:tcW w:w="2835" w:type="dxa"/>
            <w:shd w:val="clear" w:color="auto" w:fill="FFCCCC"/>
            <w:vAlign w:val="center"/>
          </w:tcPr>
          <w:p w14:paraId="70B93DD0" w14:textId="77777777" w:rsidR="00CB6DAC" w:rsidRPr="008121BC" w:rsidRDefault="00CB6DAC" w:rsidP="00F45C37">
            <w:pPr>
              <w:spacing w:after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121BC">
              <w:rPr>
                <w:rFonts w:cstheme="minorHAnsi"/>
                <w:i/>
                <w:iCs/>
                <w:sz w:val="20"/>
                <w:szCs w:val="20"/>
              </w:rPr>
              <w:t>Tempo di verifica dalla data di versamento</w:t>
            </w:r>
          </w:p>
        </w:tc>
      </w:tr>
      <w:tr w:rsidR="00CB6DAC" w:rsidRPr="009E495D" w14:paraId="4802EEDE" w14:textId="77777777" w:rsidTr="0052769F">
        <w:trPr>
          <w:trHeight w:val="20"/>
        </w:trPr>
        <w:tc>
          <w:tcPr>
            <w:tcW w:w="6658" w:type="dxa"/>
            <w:shd w:val="clear" w:color="auto" w:fill="FFCCCC"/>
          </w:tcPr>
          <w:p w14:paraId="4B9C5CC8" w14:textId="77777777" w:rsidR="00CB6DAC" w:rsidRDefault="00CB6DAC" w:rsidP="00F45C37">
            <w:pPr>
              <w:spacing w:after="0"/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>
              <w:rPr>
                <w:rFonts w:eastAsia="Times New Roman" w:cstheme="minorHAnsi"/>
                <w:szCs w:val="24"/>
                <w:lang w:eastAsia="it-IT"/>
              </w:rPr>
              <w:t>Predisposizione ed emissione dei solleciti di pagamento (facoltativa)</w:t>
            </w:r>
          </w:p>
        </w:tc>
        <w:tc>
          <w:tcPr>
            <w:tcW w:w="2835" w:type="dxa"/>
            <w:shd w:val="clear" w:color="auto" w:fill="FFCCCC"/>
            <w:vAlign w:val="center"/>
          </w:tcPr>
          <w:p w14:paraId="48A04850" w14:textId="77777777" w:rsidR="00CB6DAC" w:rsidRPr="008121BC" w:rsidRDefault="00CB6DAC" w:rsidP="00F45C37">
            <w:pPr>
              <w:spacing w:after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121BC">
              <w:rPr>
                <w:rFonts w:cstheme="minorHAnsi"/>
                <w:i/>
                <w:iCs/>
                <w:sz w:val="20"/>
                <w:szCs w:val="20"/>
              </w:rPr>
              <w:t>Tempo intercorrente tra la scadenza dell’ultima rata ordinaria e l’emissione dei solleciti</w:t>
            </w:r>
          </w:p>
        </w:tc>
      </w:tr>
      <w:tr w:rsidR="00CB6DAC" w:rsidRPr="009E495D" w14:paraId="3FFAA2B8" w14:textId="77777777" w:rsidTr="0052769F">
        <w:trPr>
          <w:trHeight w:val="20"/>
        </w:trPr>
        <w:tc>
          <w:tcPr>
            <w:tcW w:w="6658" w:type="dxa"/>
            <w:shd w:val="clear" w:color="auto" w:fill="FFCCCC"/>
          </w:tcPr>
          <w:p w14:paraId="33929144" w14:textId="77777777" w:rsidR="00CB6DAC" w:rsidRDefault="00CB6DAC" w:rsidP="00F45C37">
            <w:pPr>
              <w:spacing w:after="0"/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>
              <w:rPr>
                <w:rFonts w:eastAsia="Times New Roman" w:cstheme="minorHAnsi"/>
                <w:szCs w:val="24"/>
                <w:lang w:eastAsia="it-IT"/>
              </w:rPr>
              <w:t>Verifica della motivazione di mancato recapito degli avvisi tornati al mittente e contestuali operazioni di correzione (es. aggiornamento dell’indirizzo di recapito)</w:t>
            </w:r>
          </w:p>
        </w:tc>
        <w:tc>
          <w:tcPr>
            <w:tcW w:w="2835" w:type="dxa"/>
            <w:shd w:val="clear" w:color="auto" w:fill="FFCCCC"/>
            <w:vAlign w:val="center"/>
          </w:tcPr>
          <w:p w14:paraId="18DBB6A5" w14:textId="77777777" w:rsidR="00CB6DAC" w:rsidRPr="008121BC" w:rsidRDefault="00CB6DAC" w:rsidP="00F45C37">
            <w:pPr>
              <w:spacing w:after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121BC">
              <w:rPr>
                <w:rFonts w:cstheme="minorHAnsi"/>
                <w:i/>
                <w:iCs/>
                <w:sz w:val="20"/>
                <w:szCs w:val="20"/>
              </w:rPr>
              <w:t>Quantità (%) avvisi controllati entro 60 giorni dal ritorno</w:t>
            </w:r>
          </w:p>
        </w:tc>
      </w:tr>
      <w:tr w:rsidR="00CB6DAC" w:rsidRPr="009E495D" w14:paraId="41E3FBC0" w14:textId="77777777" w:rsidTr="0052769F">
        <w:trPr>
          <w:trHeight w:val="20"/>
        </w:trPr>
        <w:tc>
          <w:tcPr>
            <w:tcW w:w="6658" w:type="dxa"/>
            <w:shd w:val="clear" w:color="auto" w:fill="FFCCCC"/>
          </w:tcPr>
          <w:p w14:paraId="0D415153" w14:textId="77777777" w:rsidR="00CB6DAC" w:rsidRDefault="00CB6DAC" w:rsidP="00F45C37">
            <w:pPr>
              <w:spacing w:after="0"/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>
              <w:rPr>
                <w:rFonts w:eastAsia="Times New Roman" w:cstheme="minorHAnsi"/>
                <w:szCs w:val="24"/>
                <w:lang w:eastAsia="it-IT"/>
              </w:rPr>
              <w:t>Gestione dei reclami connessi al mancato recapito dell’avviso di pagamento e rispedizione dell’atto</w:t>
            </w:r>
          </w:p>
        </w:tc>
        <w:tc>
          <w:tcPr>
            <w:tcW w:w="2835" w:type="dxa"/>
            <w:shd w:val="clear" w:color="auto" w:fill="FFCCCC"/>
            <w:vAlign w:val="center"/>
          </w:tcPr>
          <w:p w14:paraId="1DD9A6E2" w14:textId="77777777" w:rsidR="00CB6DAC" w:rsidRPr="008121BC" w:rsidRDefault="00CB6DAC" w:rsidP="00F45C37">
            <w:pPr>
              <w:spacing w:after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121BC">
              <w:rPr>
                <w:rFonts w:cstheme="minorHAnsi"/>
                <w:i/>
                <w:iCs/>
                <w:sz w:val="20"/>
                <w:szCs w:val="20"/>
              </w:rPr>
              <w:t>Tempo intercorrente tra la ricezione del reclamo e la spedizione di copia dell’atto</w:t>
            </w:r>
          </w:p>
        </w:tc>
      </w:tr>
      <w:tr w:rsidR="00CB6DAC" w:rsidRPr="009E495D" w14:paraId="355E05BB" w14:textId="77777777" w:rsidTr="0052769F">
        <w:trPr>
          <w:trHeight w:val="20"/>
        </w:trPr>
        <w:tc>
          <w:tcPr>
            <w:tcW w:w="6658" w:type="dxa"/>
            <w:shd w:val="clear" w:color="auto" w:fill="FFCCCC"/>
          </w:tcPr>
          <w:p w14:paraId="623DD1CF" w14:textId="77777777" w:rsidR="00CB6DAC" w:rsidRDefault="00CB6DAC" w:rsidP="00F45C37">
            <w:pPr>
              <w:spacing w:after="0"/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>
              <w:rPr>
                <w:rFonts w:eastAsia="Times New Roman" w:cstheme="minorHAnsi"/>
                <w:szCs w:val="24"/>
                <w:lang w:eastAsia="it-IT"/>
              </w:rPr>
              <w:t>Predisposizione e notifica degli avvisi di accertamento</w:t>
            </w:r>
          </w:p>
        </w:tc>
        <w:tc>
          <w:tcPr>
            <w:tcW w:w="2835" w:type="dxa"/>
            <w:shd w:val="clear" w:color="auto" w:fill="FFCCCC"/>
            <w:vAlign w:val="center"/>
          </w:tcPr>
          <w:p w14:paraId="78A6E2F7" w14:textId="77777777" w:rsidR="00CB6DAC" w:rsidRPr="008121BC" w:rsidRDefault="00CB6DAC" w:rsidP="00F45C37">
            <w:pPr>
              <w:spacing w:after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121BC">
              <w:rPr>
                <w:rFonts w:cstheme="minorHAnsi"/>
                <w:i/>
                <w:iCs/>
                <w:sz w:val="20"/>
                <w:szCs w:val="20"/>
              </w:rPr>
              <w:t>Quantità (%) avvisi di accertamento emessi in relazione ai soggetti morosi</w:t>
            </w:r>
          </w:p>
        </w:tc>
      </w:tr>
      <w:tr w:rsidR="00CB6DAC" w:rsidRPr="009E495D" w14:paraId="1F1A57ED" w14:textId="77777777" w:rsidTr="0052769F">
        <w:trPr>
          <w:trHeight w:val="20"/>
        </w:trPr>
        <w:tc>
          <w:tcPr>
            <w:tcW w:w="6658" w:type="dxa"/>
            <w:shd w:val="clear" w:color="auto" w:fill="FFCCCC"/>
          </w:tcPr>
          <w:p w14:paraId="730EB544" w14:textId="77777777" w:rsidR="00CB6DAC" w:rsidRDefault="00CB6DAC" w:rsidP="00F45C37">
            <w:pPr>
              <w:spacing w:after="0"/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>
              <w:rPr>
                <w:rFonts w:eastAsia="Times New Roman" w:cstheme="minorHAnsi"/>
                <w:szCs w:val="24"/>
                <w:lang w:eastAsia="it-IT"/>
              </w:rPr>
              <w:t>Gestione delle istanze di revisione in autotutela degli atti (rettifica o annullamento)</w:t>
            </w:r>
          </w:p>
        </w:tc>
        <w:tc>
          <w:tcPr>
            <w:tcW w:w="2835" w:type="dxa"/>
            <w:shd w:val="clear" w:color="auto" w:fill="FFCCCC"/>
            <w:vAlign w:val="center"/>
          </w:tcPr>
          <w:p w14:paraId="164CE5D8" w14:textId="77777777" w:rsidR="00CB6DAC" w:rsidRPr="008121BC" w:rsidRDefault="00CB6DAC" w:rsidP="00F45C37">
            <w:pPr>
              <w:spacing w:after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121BC">
              <w:rPr>
                <w:rFonts w:cstheme="minorHAnsi"/>
                <w:i/>
                <w:iCs/>
                <w:sz w:val="20"/>
                <w:szCs w:val="20"/>
              </w:rPr>
              <w:t>Tempo intercorrente tra la ricezione dell’istanza e l’invio della risposta motivata</w:t>
            </w:r>
          </w:p>
        </w:tc>
      </w:tr>
      <w:tr w:rsidR="00CB6DAC" w:rsidRPr="009E495D" w14:paraId="16EB531B" w14:textId="77777777" w:rsidTr="0052769F">
        <w:trPr>
          <w:trHeight w:val="20"/>
        </w:trPr>
        <w:tc>
          <w:tcPr>
            <w:tcW w:w="6658" w:type="dxa"/>
            <w:shd w:val="clear" w:color="auto" w:fill="FFCCCC"/>
          </w:tcPr>
          <w:p w14:paraId="50ABEB60" w14:textId="77777777" w:rsidR="00CB6DAC" w:rsidRDefault="00CB6DAC" w:rsidP="00F45C37">
            <w:pPr>
              <w:spacing w:after="0"/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>
              <w:rPr>
                <w:rFonts w:eastAsia="Times New Roman" w:cstheme="minorHAnsi"/>
                <w:szCs w:val="24"/>
                <w:lang w:eastAsia="it-IT"/>
              </w:rPr>
              <w:t>Gestione dei ricorsi presso le Corti di Giustizia Tributaria di Primo Grado; predisposizione costituzione in giudizio e formulazioni memorie o controdeduzioni</w:t>
            </w:r>
          </w:p>
        </w:tc>
        <w:tc>
          <w:tcPr>
            <w:tcW w:w="2835" w:type="dxa"/>
            <w:shd w:val="clear" w:color="auto" w:fill="FFCCCC"/>
            <w:vAlign w:val="center"/>
          </w:tcPr>
          <w:p w14:paraId="6E719844" w14:textId="77777777" w:rsidR="00CB6DAC" w:rsidRPr="008121BC" w:rsidRDefault="00CB6DAC" w:rsidP="00F45C37">
            <w:pPr>
              <w:spacing w:after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121BC">
              <w:rPr>
                <w:rFonts w:cstheme="minorHAnsi"/>
                <w:i/>
                <w:iCs/>
                <w:sz w:val="20"/>
                <w:szCs w:val="20"/>
              </w:rPr>
              <w:t>Tempo intercorrente tra la ricezione del ricorso e la produzione di documenti processuali</w:t>
            </w:r>
          </w:p>
        </w:tc>
      </w:tr>
      <w:tr w:rsidR="00CB6DAC" w:rsidRPr="009E495D" w14:paraId="4A345D20" w14:textId="77777777" w:rsidTr="0052769F">
        <w:trPr>
          <w:trHeight w:val="20"/>
        </w:trPr>
        <w:tc>
          <w:tcPr>
            <w:tcW w:w="6658" w:type="dxa"/>
            <w:shd w:val="clear" w:color="auto" w:fill="FFCCCC"/>
          </w:tcPr>
          <w:p w14:paraId="5CDFE396" w14:textId="77777777" w:rsidR="00CB6DAC" w:rsidRPr="00B95DCF" w:rsidRDefault="00CB6DAC" w:rsidP="00F45C37">
            <w:pPr>
              <w:spacing w:after="0"/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 w:rsidRPr="00B95DCF">
              <w:rPr>
                <w:rFonts w:eastAsia="Times New Roman" w:cstheme="minorHAnsi"/>
                <w:szCs w:val="24"/>
                <w:lang w:eastAsia="it-IT"/>
              </w:rPr>
              <w:t xml:space="preserve">Gestione delle richieste di rateizzazione </w:t>
            </w:r>
            <w:r>
              <w:rPr>
                <w:rFonts w:eastAsia="Times New Roman" w:cstheme="minorHAnsi"/>
                <w:szCs w:val="24"/>
                <w:lang w:eastAsia="it-IT"/>
              </w:rPr>
              <w:t>dei versamenti (ordinari e accertamenti)</w:t>
            </w:r>
          </w:p>
        </w:tc>
        <w:tc>
          <w:tcPr>
            <w:tcW w:w="2835" w:type="dxa"/>
            <w:shd w:val="clear" w:color="auto" w:fill="FFCCCC"/>
            <w:vAlign w:val="center"/>
          </w:tcPr>
          <w:p w14:paraId="142AD4DA" w14:textId="77777777" w:rsidR="00CB6DAC" w:rsidRPr="008121BC" w:rsidRDefault="00CB6DAC" w:rsidP="00F45C37">
            <w:pPr>
              <w:spacing w:after="0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8121BC">
              <w:rPr>
                <w:rFonts w:cstheme="minorHAnsi"/>
                <w:i/>
                <w:iCs/>
                <w:sz w:val="20"/>
                <w:szCs w:val="20"/>
              </w:rPr>
              <w:t>Tempo intercorrente tra la ricezione dell’istanza e l’invio del piano rateale</w:t>
            </w:r>
          </w:p>
        </w:tc>
      </w:tr>
      <w:tr w:rsidR="00CB6DAC" w:rsidRPr="009E495D" w14:paraId="25FE59F5" w14:textId="77777777" w:rsidTr="0052769F">
        <w:trPr>
          <w:trHeight w:val="20"/>
        </w:trPr>
        <w:tc>
          <w:tcPr>
            <w:tcW w:w="6658" w:type="dxa"/>
            <w:shd w:val="clear" w:color="auto" w:fill="FFCCCC"/>
          </w:tcPr>
          <w:p w14:paraId="55E57BBA" w14:textId="77777777" w:rsidR="00CB6DAC" w:rsidRPr="008B5F90" w:rsidRDefault="00CB6DAC" w:rsidP="00F45C37">
            <w:pPr>
              <w:spacing w:after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Verifica delle istanze di r</w:t>
            </w:r>
            <w:r w:rsidRPr="00B95DCF">
              <w:rPr>
                <w:rFonts w:cstheme="minorHAnsi"/>
                <w:szCs w:val="24"/>
              </w:rPr>
              <w:t xml:space="preserve">imborso </w:t>
            </w:r>
            <w:r>
              <w:rPr>
                <w:rFonts w:cstheme="minorHAnsi"/>
                <w:szCs w:val="24"/>
              </w:rPr>
              <w:t xml:space="preserve">delle </w:t>
            </w:r>
            <w:r w:rsidRPr="00B95DCF">
              <w:rPr>
                <w:rFonts w:cstheme="minorHAnsi"/>
                <w:szCs w:val="24"/>
              </w:rPr>
              <w:t>somm</w:t>
            </w:r>
            <w:r>
              <w:rPr>
                <w:rFonts w:cstheme="minorHAnsi"/>
                <w:szCs w:val="24"/>
              </w:rPr>
              <w:t>e</w:t>
            </w:r>
            <w:r w:rsidRPr="00B95DCF">
              <w:rPr>
                <w:rFonts w:cstheme="minorHAnsi"/>
                <w:szCs w:val="24"/>
              </w:rPr>
              <w:t xml:space="preserve"> non dovut</w:t>
            </w:r>
            <w:r>
              <w:rPr>
                <w:rFonts w:cstheme="minorHAnsi"/>
                <w:szCs w:val="24"/>
              </w:rPr>
              <w:t>e</w:t>
            </w:r>
            <w:r w:rsidRPr="00B95DCF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e disposizione di pagamento o compensazione</w:t>
            </w:r>
          </w:p>
        </w:tc>
        <w:tc>
          <w:tcPr>
            <w:tcW w:w="2835" w:type="dxa"/>
            <w:shd w:val="clear" w:color="auto" w:fill="FFCCCC"/>
            <w:vAlign w:val="center"/>
          </w:tcPr>
          <w:p w14:paraId="5FC86603" w14:textId="77777777" w:rsidR="00CB6DAC" w:rsidRPr="008121BC" w:rsidRDefault="00CB6DAC" w:rsidP="00F45C37">
            <w:pPr>
              <w:spacing w:after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121BC">
              <w:rPr>
                <w:rFonts w:cstheme="minorHAnsi"/>
                <w:i/>
                <w:iCs/>
                <w:sz w:val="20"/>
                <w:szCs w:val="20"/>
              </w:rPr>
              <w:t>Tempo intercorrente tra la ricezione dell’istanza e la liquidazione delle somme</w:t>
            </w:r>
          </w:p>
        </w:tc>
      </w:tr>
      <w:tr w:rsidR="00CB6DAC" w:rsidRPr="009E495D" w14:paraId="3A78DF9D" w14:textId="77777777" w:rsidTr="0052769F">
        <w:trPr>
          <w:trHeight w:val="20"/>
        </w:trPr>
        <w:tc>
          <w:tcPr>
            <w:tcW w:w="6658" w:type="dxa"/>
            <w:shd w:val="clear" w:color="auto" w:fill="FFCCCC"/>
          </w:tcPr>
          <w:p w14:paraId="29CDCFD1" w14:textId="77777777" w:rsidR="00CB6DAC" w:rsidRDefault="00CB6DAC" w:rsidP="00F45C37">
            <w:pPr>
              <w:spacing w:after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Trasmissione delle posizioni di morosità (post-accertamento) ai soggetti che si occupano di riscossione coattiva</w:t>
            </w:r>
          </w:p>
        </w:tc>
        <w:tc>
          <w:tcPr>
            <w:tcW w:w="2835" w:type="dxa"/>
            <w:shd w:val="clear" w:color="auto" w:fill="FFCCCC"/>
            <w:vAlign w:val="center"/>
          </w:tcPr>
          <w:p w14:paraId="57AA4729" w14:textId="77777777" w:rsidR="00CB6DAC" w:rsidRPr="008121BC" w:rsidRDefault="00CB6DAC" w:rsidP="00F45C37">
            <w:pPr>
              <w:spacing w:after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121BC">
              <w:rPr>
                <w:rFonts w:cstheme="minorHAnsi"/>
                <w:i/>
                <w:iCs/>
                <w:sz w:val="20"/>
                <w:szCs w:val="20"/>
              </w:rPr>
              <w:t>Quantità (%) di posizioni trasmesse in relazione ai soggetti morosi</w:t>
            </w:r>
          </w:p>
        </w:tc>
      </w:tr>
      <w:tr w:rsidR="00CB6DAC" w:rsidRPr="009E495D" w14:paraId="3123877B" w14:textId="77777777" w:rsidTr="0052769F">
        <w:trPr>
          <w:trHeight w:val="20"/>
        </w:trPr>
        <w:tc>
          <w:tcPr>
            <w:tcW w:w="6658" w:type="dxa"/>
            <w:shd w:val="clear" w:color="auto" w:fill="FFCCCC"/>
          </w:tcPr>
          <w:p w14:paraId="4A275D35" w14:textId="77777777" w:rsidR="00CB6DAC" w:rsidRPr="009E495D" w:rsidRDefault="00CB6DAC" w:rsidP="00F45C37">
            <w:pPr>
              <w:spacing w:after="0"/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 w:rsidRPr="00B95DCF">
              <w:rPr>
                <w:rFonts w:cstheme="minorHAnsi"/>
                <w:szCs w:val="24"/>
              </w:rPr>
              <w:t xml:space="preserve">Discarico somma iscritta a ruolo o riscossa coattivamente e non dovuta </w:t>
            </w:r>
          </w:p>
        </w:tc>
        <w:tc>
          <w:tcPr>
            <w:tcW w:w="2835" w:type="dxa"/>
            <w:shd w:val="clear" w:color="auto" w:fill="FFCCCC"/>
            <w:vAlign w:val="center"/>
          </w:tcPr>
          <w:p w14:paraId="632F858E" w14:textId="77777777" w:rsidR="00CB6DAC" w:rsidRPr="008121BC" w:rsidRDefault="00CB6DAC" w:rsidP="00F45C37">
            <w:pPr>
              <w:spacing w:after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121BC">
              <w:rPr>
                <w:rFonts w:cstheme="minorHAnsi"/>
                <w:i/>
                <w:iCs/>
                <w:sz w:val="20"/>
                <w:szCs w:val="20"/>
              </w:rPr>
              <w:t>Quantità (%) di posizioni discaricate in relazione ai soggetti morosi</w:t>
            </w:r>
          </w:p>
        </w:tc>
      </w:tr>
      <w:tr w:rsidR="00CB6DAC" w:rsidRPr="009E495D" w14:paraId="07DEA8B6" w14:textId="77777777" w:rsidTr="0052769F">
        <w:trPr>
          <w:trHeight w:val="20"/>
        </w:trPr>
        <w:tc>
          <w:tcPr>
            <w:tcW w:w="6658" w:type="dxa"/>
            <w:shd w:val="clear" w:color="auto" w:fill="FFCCCC"/>
          </w:tcPr>
          <w:p w14:paraId="3B114CEE" w14:textId="77777777" w:rsidR="00CB6DAC" w:rsidRPr="00B95DCF" w:rsidRDefault="00CB6DAC" w:rsidP="00F45C37">
            <w:pPr>
              <w:spacing w:after="0"/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>
              <w:rPr>
                <w:rFonts w:cstheme="minorHAnsi"/>
                <w:szCs w:val="24"/>
              </w:rPr>
              <w:t>Gestione degli i</w:t>
            </w:r>
            <w:r w:rsidRPr="00B95DCF">
              <w:rPr>
                <w:rFonts w:cstheme="minorHAnsi"/>
                <w:szCs w:val="24"/>
              </w:rPr>
              <w:t>nterpell</w:t>
            </w:r>
            <w:r>
              <w:rPr>
                <w:rFonts w:cstheme="minorHAnsi"/>
                <w:szCs w:val="24"/>
              </w:rPr>
              <w:t xml:space="preserve">i </w:t>
            </w:r>
            <w:r w:rsidRPr="00B95DCF">
              <w:rPr>
                <w:rFonts w:cstheme="minorHAnsi"/>
                <w:szCs w:val="24"/>
              </w:rPr>
              <w:t>(art. 11 legge n. 212/2000 Statuto dei diritti del contribuente</w:t>
            </w:r>
            <w:r>
              <w:rPr>
                <w:rFonts w:cstheme="minorHAnsi"/>
                <w:szCs w:val="24"/>
              </w:rPr>
              <w:t>)</w:t>
            </w:r>
          </w:p>
        </w:tc>
        <w:tc>
          <w:tcPr>
            <w:tcW w:w="2835" w:type="dxa"/>
            <w:shd w:val="clear" w:color="auto" w:fill="FFCCCC"/>
            <w:vAlign w:val="center"/>
          </w:tcPr>
          <w:p w14:paraId="21C118BC" w14:textId="77777777" w:rsidR="00CB6DAC" w:rsidRPr="008121BC" w:rsidRDefault="00CB6DAC" w:rsidP="00F45C37">
            <w:pPr>
              <w:spacing w:after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121BC">
              <w:rPr>
                <w:rFonts w:cstheme="minorHAnsi"/>
                <w:i/>
                <w:iCs/>
                <w:sz w:val="20"/>
                <w:szCs w:val="20"/>
              </w:rPr>
              <w:t>Tempo intercorrente tra la ricezione dell’istanza e l’invio del riscontro</w:t>
            </w:r>
          </w:p>
        </w:tc>
      </w:tr>
      <w:tr w:rsidR="00CB6DAC" w:rsidRPr="009E495D" w14:paraId="2DA9B04B" w14:textId="77777777" w:rsidTr="0052769F">
        <w:trPr>
          <w:trHeight w:val="20"/>
        </w:trPr>
        <w:tc>
          <w:tcPr>
            <w:tcW w:w="6658" w:type="dxa"/>
            <w:shd w:val="clear" w:color="auto" w:fill="FFCCCC"/>
          </w:tcPr>
          <w:p w14:paraId="03FAFB61" w14:textId="77777777" w:rsidR="00CB6DAC" w:rsidRPr="00B95DCF" w:rsidRDefault="00CB6DAC" w:rsidP="00F45C37">
            <w:pPr>
              <w:spacing w:after="0"/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>
              <w:rPr>
                <w:rFonts w:eastAsia="Times New Roman" w:cstheme="minorHAnsi"/>
                <w:szCs w:val="24"/>
                <w:lang w:eastAsia="it-IT"/>
              </w:rPr>
              <w:t>Attività di individuazione dell’evasione tributaria (mediante invio di questionari, incroci di banche dati, altro)</w:t>
            </w:r>
          </w:p>
        </w:tc>
        <w:tc>
          <w:tcPr>
            <w:tcW w:w="2835" w:type="dxa"/>
            <w:shd w:val="clear" w:color="auto" w:fill="FFCCCC"/>
            <w:vAlign w:val="center"/>
          </w:tcPr>
          <w:p w14:paraId="4E8A60A0" w14:textId="77777777" w:rsidR="00CB6DAC" w:rsidRPr="008121BC" w:rsidRDefault="00CB6DAC" w:rsidP="00F45C37">
            <w:pPr>
              <w:spacing w:after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121BC">
              <w:rPr>
                <w:rFonts w:cstheme="minorHAnsi"/>
                <w:i/>
                <w:iCs/>
                <w:sz w:val="20"/>
                <w:szCs w:val="20"/>
              </w:rPr>
              <w:t>Quantità (%) di posizioni individuate rispetto ai contribuenti iscritti</w:t>
            </w:r>
          </w:p>
        </w:tc>
      </w:tr>
      <w:tr w:rsidR="00CB6DAC" w:rsidRPr="009E495D" w14:paraId="16105D7E" w14:textId="77777777" w:rsidTr="0052769F">
        <w:trPr>
          <w:trHeight w:val="20"/>
        </w:trPr>
        <w:tc>
          <w:tcPr>
            <w:tcW w:w="6658" w:type="dxa"/>
            <w:shd w:val="clear" w:color="auto" w:fill="FFFFCC"/>
          </w:tcPr>
          <w:p w14:paraId="61DD02BD" w14:textId="77777777" w:rsidR="00CB6DAC" w:rsidRDefault="00CB6DAC" w:rsidP="00F45C37">
            <w:pPr>
              <w:spacing w:after="0"/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>
              <w:rPr>
                <w:rFonts w:eastAsia="Times New Roman" w:cstheme="minorHAnsi"/>
                <w:szCs w:val="24"/>
                <w:lang w:eastAsia="it-IT"/>
              </w:rPr>
              <w:t>Aggiornamento del sito internet (con particolare riferimento alla sezione trasparenza ex Delibera 444/2019/R/Rif)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76BEF029" w14:textId="77777777" w:rsidR="00CB6DAC" w:rsidRPr="008121BC" w:rsidRDefault="00CB6DAC" w:rsidP="00F45C37">
            <w:pPr>
              <w:spacing w:after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121BC">
              <w:rPr>
                <w:rFonts w:cstheme="minorHAnsi"/>
                <w:i/>
                <w:iCs/>
                <w:sz w:val="20"/>
                <w:szCs w:val="20"/>
              </w:rPr>
              <w:t>Rispetto dei termini previsti dalla normativa</w:t>
            </w:r>
          </w:p>
        </w:tc>
      </w:tr>
      <w:tr w:rsidR="00CB6DAC" w:rsidRPr="009E495D" w14:paraId="363EEDB1" w14:textId="77777777" w:rsidTr="0052769F">
        <w:trPr>
          <w:trHeight w:val="20"/>
        </w:trPr>
        <w:tc>
          <w:tcPr>
            <w:tcW w:w="6658" w:type="dxa"/>
            <w:shd w:val="clear" w:color="auto" w:fill="FFFFCC"/>
          </w:tcPr>
          <w:p w14:paraId="0CDF6359" w14:textId="77777777" w:rsidR="00CB6DAC" w:rsidRDefault="00CB6DAC" w:rsidP="00F45C37">
            <w:pPr>
              <w:spacing w:after="0"/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>
              <w:rPr>
                <w:rFonts w:eastAsia="Times New Roman" w:cstheme="minorHAnsi"/>
                <w:szCs w:val="24"/>
                <w:lang w:eastAsia="it-IT"/>
              </w:rPr>
              <w:t>Predisposizione del Piano Finanziario “grezzo” riferito alla Gestione delle tariffe e rapporti con gli utenti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70F30620" w14:textId="77777777" w:rsidR="00CB6DAC" w:rsidRPr="008121BC" w:rsidRDefault="00CB6DAC" w:rsidP="00F45C37">
            <w:pPr>
              <w:spacing w:after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121BC">
              <w:rPr>
                <w:rFonts w:cstheme="minorHAnsi"/>
                <w:i/>
                <w:iCs/>
                <w:sz w:val="20"/>
                <w:szCs w:val="20"/>
              </w:rPr>
              <w:t>Rispetto dei termini previsti dalla normativa</w:t>
            </w:r>
          </w:p>
        </w:tc>
      </w:tr>
      <w:tr w:rsidR="00CB6DAC" w:rsidRPr="009E495D" w14:paraId="4A4D65C8" w14:textId="77777777" w:rsidTr="0052769F">
        <w:trPr>
          <w:trHeight w:val="20"/>
        </w:trPr>
        <w:tc>
          <w:tcPr>
            <w:tcW w:w="6658" w:type="dxa"/>
            <w:shd w:val="clear" w:color="auto" w:fill="FFFFCC"/>
          </w:tcPr>
          <w:p w14:paraId="273160B7" w14:textId="77777777" w:rsidR="00CB6DAC" w:rsidRDefault="00CB6DAC" w:rsidP="00F45C37">
            <w:pPr>
              <w:spacing w:after="0"/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>
              <w:rPr>
                <w:rFonts w:eastAsia="Times New Roman" w:cstheme="minorHAnsi"/>
                <w:szCs w:val="24"/>
                <w:lang w:eastAsia="it-IT"/>
              </w:rPr>
              <w:lastRenderedPageBreak/>
              <w:t>Predisposizione delle tariffe per l’anno in corso e degli atti di approvazione in Consiglio Comunale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2C5815E9" w14:textId="77777777" w:rsidR="00CB6DAC" w:rsidRPr="008121BC" w:rsidRDefault="00CB6DAC" w:rsidP="00F45C37">
            <w:pPr>
              <w:spacing w:after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121BC">
              <w:rPr>
                <w:rFonts w:cstheme="minorHAnsi"/>
                <w:i/>
                <w:iCs/>
                <w:sz w:val="20"/>
                <w:szCs w:val="20"/>
              </w:rPr>
              <w:t>Rispetto dei termini previsti dalla normativa</w:t>
            </w:r>
          </w:p>
        </w:tc>
      </w:tr>
      <w:tr w:rsidR="00CB6DAC" w:rsidRPr="009E495D" w14:paraId="435E57D5" w14:textId="77777777" w:rsidTr="0052769F">
        <w:trPr>
          <w:trHeight w:val="20"/>
        </w:trPr>
        <w:tc>
          <w:tcPr>
            <w:tcW w:w="6658" w:type="dxa"/>
            <w:shd w:val="clear" w:color="auto" w:fill="FFFFCC"/>
          </w:tcPr>
          <w:p w14:paraId="16469734" w14:textId="77777777" w:rsidR="00CB6DAC" w:rsidRDefault="00CB6DAC" w:rsidP="00F45C37">
            <w:pPr>
              <w:spacing w:after="0"/>
              <w:jc w:val="both"/>
              <w:rPr>
                <w:rFonts w:eastAsia="Times New Roman" w:cstheme="minorHAnsi"/>
                <w:szCs w:val="24"/>
                <w:lang w:eastAsia="it-IT"/>
              </w:rPr>
            </w:pPr>
            <w:r>
              <w:rPr>
                <w:rFonts w:eastAsia="Times New Roman" w:cstheme="minorHAnsi"/>
                <w:szCs w:val="24"/>
                <w:lang w:eastAsia="it-IT"/>
              </w:rPr>
              <w:t>Aggiornamento periodico del Regolamento Comunale TARI alle disposizioni normative più recenti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2D236ECC" w14:textId="77777777" w:rsidR="00CB6DAC" w:rsidRPr="008121BC" w:rsidRDefault="00CB6DAC" w:rsidP="00F45C37">
            <w:pPr>
              <w:spacing w:after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121BC">
              <w:rPr>
                <w:rFonts w:cstheme="minorHAnsi"/>
                <w:i/>
                <w:iCs/>
                <w:sz w:val="20"/>
                <w:szCs w:val="20"/>
              </w:rPr>
              <w:t>Rispetto dei termini previsti dalla normativa</w:t>
            </w:r>
          </w:p>
        </w:tc>
      </w:tr>
    </w:tbl>
    <w:p w14:paraId="72C1171A" w14:textId="77777777" w:rsidR="008E0266" w:rsidRDefault="008E0266" w:rsidP="00F45C37">
      <w:pPr>
        <w:spacing w:after="160"/>
        <w:jc w:val="both"/>
      </w:pPr>
    </w:p>
    <w:p w14:paraId="525EC5E5" w14:textId="53D0D2CE" w:rsidR="00EA730D" w:rsidRDefault="00EA730D">
      <w:pPr>
        <w:spacing w:after="160"/>
      </w:pPr>
      <w:r>
        <w:br w:type="page"/>
      </w:r>
    </w:p>
    <w:p w14:paraId="4AA06D31" w14:textId="345E4980" w:rsidR="00EA730D" w:rsidRDefault="00EA730D">
      <w:pPr>
        <w:spacing w:after="160"/>
      </w:pPr>
    </w:p>
    <w:p w14:paraId="01C982A3" w14:textId="01CE9489" w:rsidR="006A183F" w:rsidRDefault="00E97468" w:rsidP="00DD04D6">
      <w:pPr>
        <w:pStyle w:val="Titolo1"/>
        <w:numPr>
          <w:ilvl w:val="0"/>
          <w:numId w:val="6"/>
        </w:numPr>
        <w:jc w:val="both"/>
      </w:pPr>
      <w:bookmarkStart w:id="20" w:name="_Toc121998686"/>
      <w:bookmarkStart w:id="21" w:name="_Hlk116053834"/>
      <w:r>
        <w:t>Trasparenza</w:t>
      </w:r>
      <w:bookmarkEnd w:id="20"/>
    </w:p>
    <w:p w14:paraId="1B8FB4F2" w14:textId="731D7816" w:rsidR="00E97468" w:rsidRDefault="00E97468" w:rsidP="00F45C37">
      <w:pPr>
        <w:jc w:val="both"/>
      </w:pPr>
    </w:p>
    <w:p w14:paraId="49EFAA2A" w14:textId="77777777" w:rsidR="00CD4A88" w:rsidRDefault="00947D00" w:rsidP="00F45C37">
      <w:pPr>
        <w:jc w:val="both"/>
      </w:pPr>
      <w:r>
        <w:t>La deliberazione</w:t>
      </w:r>
      <w:r w:rsidRPr="00947D00">
        <w:t xml:space="preserve"> ARERA 15/2022/R/Rif è intervenuta sulla materia modificando e integrando la deliberazione 444/2019/R/Rif. </w:t>
      </w:r>
    </w:p>
    <w:p w14:paraId="4C94CB78" w14:textId="04D05C03" w:rsidR="00E97468" w:rsidRDefault="00947D00" w:rsidP="00F45C37">
      <w:pPr>
        <w:jc w:val="both"/>
      </w:pPr>
      <w:r w:rsidRPr="00947D00">
        <w:t>Nella versione aggiornata dell’articolo 3 di quest’ultima, rubricato “Obblighi di trasparenza tramite siti internet”, l’Autorità invita il Gestore dell’attività di gestione tariffe e rapporto con gli utenti a mantenere aggiornata un’apposita sezione del proprio sito internet, facilmente accessibile dalla home page, che presenti i necessari contenuti informativi minimi, organizzati in modo da favorire la chiara identificazione degli elementi ritenuti meritevoli di trasparenza.</w:t>
      </w:r>
      <w:r>
        <w:t xml:space="preserve"> Pertanto, per informazioni riguardanti la tariffa, </w:t>
      </w:r>
      <w:r w:rsidRPr="00947D00">
        <w:t>le condizioni di erogazione dei servizi di raccolta e trasporto e di spazzamento e lavaggio delle strade</w:t>
      </w:r>
      <w:r>
        <w:t xml:space="preserve"> è possibile consultare </w:t>
      </w:r>
      <w:r w:rsidR="00015FCF">
        <w:t xml:space="preserve">il seguente link </w:t>
      </w:r>
      <w:hyperlink r:id="rId14" w:history="1">
        <w:r w:rsidR="004A660C" w:rsidRPr="006917C3">
          <w:rPr>
            <w:color w:val="0000FF"/>
            <w:u w:val="single"/>
          </w:rPr>
          <w:t>Trasparenza Rifiuti - Comune di Robbio</w:t>
        </w:r>
      </w:hyperlink>
    </w:p>
    <w:p w14:paraId="26B414EB" w14:textId="46BA2BAB" w:rsidR="00CD4A88" w:rsidRPr="00CD4A88" w:rsidRDefault="002171FA" w:rsidP="00F45C37">
      <w:pPr>
        <w:jc w:val="both"/>
      </w:pPr>
      <w:r>
        <w:t xml:space="preserve">Nella già citata </w:t>
      </w:r>
      <w:r w:rsidRPr="00947D00">
        <w:t>deliberazione 444/2019/R/Rif</w:t>
      </w:r>
      <w:r>
        <w:t xml:space="preserve"> trovano spazio inoltre, agli articoli 4, 5, 6, 7</w:t>
      </w:r>
      <w:r w:rsidR="00C70659">
        <w:t>.</w:t>
      </w:r>
      <w:r>
        <w:t>, 8, e 9, i contenuti minimi che devono essere presenti nei documenti di riscossione, con particolare riferimento ai dati sugli importi addebitati e sul calcolo della tariffa</w:t>
      </w:r>
      <w:r w:rsidR="00015FCF">
        <w:t xml:space="preserve"> e </w:t>
      </w:r>
      <w:r>
        <w:t>alle informazioni sulle modalità di pagamento</w:t>
      </w:r>
      <w:r w:rsidR="00B63BE9">
        <w:t>,</w:t>
      </w:r>
      <w:r>
        <w:t xml:space="preserve"> sull’erogazione del servizio e sui risultati ambientali.</w:t>
      </w:r>
    </w:p>
    <w:bookmarkEnd w:id="21"/>
    <w:p w14:paraId="02740725" w14:textId="77777777" w:rsidR="00323E6E" w:rsidRDefault="00323E6E" w:rsidP="00F45C37">
      <w:pPr>
        <w:jc w:val="both"/>
      </w:pPr>
    </w:p>
    <w:p w14:paraId="5FE793E6" w14:textId="7BBCA5BA" w:rsidR="00947D00" w:rsidRPr="006E3860" w:rsidRDefault="00947D00" w:rsidP="00DD04D6">
      <w:pPr>
        <w:pStyle w:val="Titolo1"/>
        <w:numPr>
          <w:ilvl w:val="0"/>
          <w:numId w:val="6"/>
        </w:numPr>
        <w:tabs>
          <w:tab w:val="left" w:pos="567"/>
        </w:tabs>
        <w:ind w:left="284" w:hanging="284"/>
        <w:jc w:val="both"/>
        <w:rPr>
          <w:szCs w:val="36"/>
        </w:rPr>
      </w:pPr>
      <w:bookmarkStart w:id="22" w:name="_Toc121998687"/>
      <w:r w:rsidRPr="006E3860">
        <w:rPr>
          <w:szCs w:val="36"/>
        </w:rPr>
        <w:t>Privacy</w:t>
      </w:r>
      <w:bookmarkStart w:id="23" w:name="_Hlk117082694"/>
      <w:bookmarkEnd w:id="22"/>
    </w:p>
    <w:p w14:paraId="0F2EC550" w14:textId="1054418B" w:rsidR="00947D00" w:rsidRDefault="00947D00" w:rsidP="00F45C37">
      <w:pPr>
        <w:jc w:val="both"/>
      </w:pPr>
    </w:p>
    <w:bookmarkEnd w:id="23"/>
    <w:p w14:paraId="2269033D" w14:textId="01FF5141" w:rsidR="00015FCF" w:rsidRDefault="00015FCF" w:rsidP="00015FCF">
      <w:pPr>
        <w:jc w:val="both"/>
      </w:pPr>
      <w:r>
        <w:t xml:space="preserve">Il </w:t>
      </w:r>
      <w:r w:rsidRPr="009D4F1C">
        <w:t>Comune di</w:t>
      </w:r>
      <w:r>
        <w:t xml:space="preserve"> </w:t>
      </w:r>
      <w:r w:rsidR="004A660C">
        <w:t>Robbio</w:t>
      </w:r>
      <w:r>
        <w:t xml:space="preserve"> si impegna</w:t>
      </w:r>
      <w:r w:rsidRPr="00947D00">
        <w:t xml:space="preserve"> a garantire che il trattamento dei dati personali degli utenti</w:t>
      </w:r>
      <w:r>
        <w:t xml:space="preserve"> </w:t>
      </w:r>
      <w:r w:rsidRPr="00947D00">
        <w:t>avvenga nel rispetto del D.Lgs. 196/2003 “Codice in materia di protezione dei dati</w:t>
      </w:r>
      <w:r>
        <w:t xml:space="preserve"> </w:t>
      </w:r>
      <w:r w:rsidRPr="00947D00">
        <w:t>personali”, come modi</w:t>
      </w:r>
      <w:r>
        <w:t>fi</w:t>
      </w:r>
      <w:r w:rsidRPr="00947D00">
        <w:t>cato da ultimo dal D.lgs. 101/2018 di adeguamento della</w:t>
      </w:r>
      <w:r>
        <w:t xml:space="preserve"> </w:t>
      </w:r>
      <w:r w:rsidRPr="00947D00">
        <w:t>normativa nazionale alle disposizioni del regolamento (UE) 2016/679 del 27 aprile</w:t>
      </w:r>
      <w:r>
        <w:t xml:space="preserve"> </w:t>
      </w:r>
      <w:r w:rsidRPr="00947D00">
        <w:t xml:space="preserve">2016. In particolare i dati personali sono raccolti al solo </w:t>
      </w:r>
      <w:r>
        <w:t>fi</w:t>
      </w:r>
      <w:r w:rsidRPr="00947D00">
        <w:t xml:space="preserve">ne di permettere </w:t>
      </w:r>
      <w:r>
        <w:t xml:space="preserve">al Comune </w:t>
      </w:r>
      <w:r w:rsidRPr="00947D00">
        <w:t xml:space="preserve">la corretta erogazione del </w:t>
      </w:r>
      <w:r>
        <w:t xml:space="preserve">Servizio di Gestione tariffe e rapporto con gli utenti </w:t>
      </w:r>
      <w:r w:rsidRPr="00947D00">
        <w:t>e sugli stessi sono e</w:t>
      </w:r>
      <w:r>
        <w:t>ff</w:t>
      </w:r>
      <w:r w:rsidRPr="00947D00">
        <w:t>ettuate le operazioni</w:t>
      </w:r>
      <w:r>
        <w:t xml:space="preserve"> </w:t>
      </w:r>
      <w:r w:rsidRPr="00947D00">
        <w:t xml:space="preserve">necessarie a tal </w:t>
      </w:r>
      <w:r>
        <w:t>fi</w:t>
      </w:r>
      <w:r w:rsidRPr="00947D00">
        <w:t>ne, quali raccolta, registrazione, conservazione, consultazione,</w:t>
      </w:r>
      <w:r>
        <w:t xml:space="preserve"> </w:t>
      </w:r>
      <w:r w:rsidRPr="00947D00">
        <w:t>modi</w:t>
      </w:r>
      <w:r>
        <w:t>fi</w:t>
      </w:r>
      <w:r w:rsidRPr="00947D00">
        <w:t>cazione, ra</w:t>
      </w:r>
      <w:r>
        <w:t>ff</w:t>
      </w:r>
      <w:r w:rsidRPr="00947D00">
        <w:t>ronto, cancellazione e qualunque altra operazione tra quelle</w:t>
      </w:r>
      <w:r>
        <w:t xml:space="preserve"> </w:t>
      </w:r>
      <w:r w:rsidRPr="00947D00">
        <w:t xml:space="preserve">previste dal codice privacy. </w:t>
      </w:r>
      <w:r w:rsidRPr="00742514">
        <w:t>Ferme restando le comunicazioni effettuate in esecuzione di obblighi di legge, i dati personali potranno essere comunicati, nella misura necessaria e sufficiente all’espletamento di alcune fasi delle attività sopra menzionate e, conseguentemente, trattati solo a tali fini</w:t>
      </w:r>
      <w:r w:rsidR="00742514" w:rsidRPr="00742514">
        <w:t xml:space="preserve"> istituzionali da altri soggetti.</w:t>
      </w:r>
    </w:p>
    <w:p w14:paraId="5665D0A7" w14:textId="1B027E4C" w:rsidR="008E0266" w:rsidRDefault="008E0266" w:rsidP="00015FCF">
      <w:pPr>
        <w:jc w:val="both"/>
      </w:pPr>
    </w:p>
    <w:p w14:paraId="49B3E51A" w14:textId="1568F8D4" w:rsidR="008E0266" w:rsidRDefault="008E0266" w:rsidP="00015FCF">
      <w:pPr>
        <w:jc w:val="both"/>
      </w:pPr>
    </w:p>
    <w:p w14:paraId="3955719C" w14:textId="322F3D20" w:rsidR="008E0266" w:rsidRDefault="008E0266" w:rsidP="00015FCF">
      <w:pPr>
        <w:jc w:val="both"/>
      </w:pPr>
    </w:p>
    <w:p w14:paraId="5948B895" w14:textId="55DE22AA" w:rsidR="008E0266" w:rsidRDefault="008E0266" w:rsidP="00015FCF">
      <w:pPr>
        <w:jc w:val="both"/>
      </w:pPr>
    </w:p>
    <w:p w14:paraId="45E4BB3C" w14:textId="77777777" w:rsidR="008E0266" w:rsidRDefault="008E0266" w:rsidP="00015FCF">
      <w:pPr>
        <w:jc w:val="both"/>
      </w:pPr>
    </w:p>
    <w:sectPr w:rsidR="008E0266" w:rsidSect="00FB788F">
      <w:footerReference w:type="default" r:id="rId15"/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7F31CF" w14:textId="77777777" w:rsidR="00626ECA" w:rsidRDefault="00626ECA" w:rsidP="006F1192">
      <w:pPr>
        <w:spacing w:after="0" w:line="240" w:lineRule="auto"/>
      </w:pPr>
      <w:r>
        <w:separator/>
      </w:r>
    </w:p>
  </w:endnote>
  <w:endnote w:type="continuationSeparator" w:id="0">
    <w:p w14:paraId="002DF5D9" w14:textId="77777777" w:rsidR="00626ECA" w:rsidRDefault="00626ECA" w:rsidP="006F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47906335"/>
      <w:docPartObj>
        <w:docPartGallery w:val="Page Numbers (Bottom of Page)"/>
        <w:docPartUnique/>
      </w:docPartObj>
    </w:sdtPr>
    <w:sdtEndPr/>
    <w:sdtContent>
      <w:p w14:paraId="1375F379" w14:textId="4B6B785C" w:rsidR="00E97468" w:rsidRDefault="00E97468" w:rsidP="00E9746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F350F" w14:textId="77777777" w:rsidR="00626ECA" w:rsidRDefault="00626ECA" w:rsidP="006F1192">
      <w:pPr>
        <w:spacing w:after="0" w:line="240" w:lineRule="auto"/>
      </w:pPr>
      <w:r>
        <w:separator/>
      </w:r>
    </w:p>
  </w:footnote>
  <w:footnote w:type="continuationSeparator" w:id="0">
    <w:p w14:paraId="1607819D" w14:textId="77777777" w:rsidR="00626ECA" w:rsidRDefault="00626ECA" w:rsidP="006F1192">
      <w:pPr>
        <w:spacing w:after="0" w:line="240" w:lineRule="auto"/>
      </w:pPr>
      <w:r>
        <w:continuationSeparator/>
      </w:r>
    </w:p>
  </w:footnote>
  <w:footnote w:id="1">
    <w:p w14:paraId="30FF84DF" w14:textId="77777777" w:rsidR="00015FCF" w:rsidRDefault="00015FCF" w:rsidP="00015FCF">
      <w:pPr>
        <w:pStyle w:val="Testonotaapidipagina"/>
      </w:pPr>
      <w:r>
        <w:rPr>
          <w:rStyle w:val="Rimandonotaapidipagina"/>
        </w:rPr>
        <w:footnoteRef/>
      </w:r>
      <w:r>
        <w:t xml:space="preserve"> Per n.a. si intende “non applicato” allo Schema di riferimento.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67985"/>
    <w:multiLevelType w:val="hybridMultilevel"/>
    <w:tmpl w:val="EFC283E6"/>
    <w:lvl w:ilvl="0" w:tplc="4B765A4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644E"/>
    <w:multiLevelType w:val="hybridMultilevel"/>
    <w:tmpl w:val="81647422"/>
    <w:lvl w:ilvl="0" w:tplc="CB2CD6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A7F31"/>
    <w:multiLevelType w:val="hybridMultilevel"/>
    <w:tmpl w:val="46F0D1BA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A0E5B"/>
    <w:multiLevelType w:val="hybridMultilevel"/>
    <w:tmpl w:val="6078783C"/>
    <w:lvl w:ilvl="0" w:tplc="5AEA31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66B6E"/>
    <w:multiLevelType w:val="hybridMultilevel"/>
    <w:tmpl w:val="2EFCF126"/>
    <w:lvl w:ilvl="0" w:tplc="CBE21922">
      <w:start w:val="1"/>
      <w:numFmt w:val="bullet"/>
      <w:lvlText w:val="-"/>
      <w:lvlJc w:val="left"/>
      <w:pPr>
        <w:ind w:left="7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00BD6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66BD3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22C962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2DE92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108D30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0A7AA6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16B020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94C268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907476"/>
    <w:multiLevelType w:val="hybridMultilevel"/>
    <w:tmpl w:val="FB2697CC"/>
    <w:lvl w:ilvl="0" w:tplc="082CF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198379">
    <w:abstractNumId w:val="4"/>
  </w:num>
  <w:num w:numId="2" w16cid:durableId="538125665">
    <w:abstractNumId w:val="0"/>
  </w:num>
  <w:num w:numId="3" w16cid:durableId="1470054424">
    <w:abstractNumId w:val="1"/>
  </w:num>
  <w:num w:numId="4" w16cid:durableId="64619173">
    <w:abstractNumId w:val="3"/>
  </w:num>
  <w:num w:numId="5" w16cid:durableId="1968702845">
    <w:abstractNumId w:val="5"/>
  </w:num>
  <w:num w:numId="6" w16cid:durableId="506404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3F"/>
    <w:rsid w:val="00015FCF"/>
    <w:rsid w:val="00016CBD"/>
    <w:rsid w:val="00017AD9"/>
    <w:rsid w:val="00020942"/>
    <w:rsid w:val="0003062D"/>
    <w:rsid w:val="000415F6"/>
    <w:rsid w:val="00060AAB"/>
    <w:rsid w:val="00093A63"/>
    <w:rsid w:val="0009588D"/>
    <w:rsid w:val="000A5EED"/>
    <w:rsid w:val="000C48D5"/>
    <w:rsid w:val="000C673C"/>
    <w:rsid w:val="00125ABD"/>
    <w:rsid w:val="00127B3F"/>
    <w:rsid w:val="0014162F"/>
    <w:rsid w:val="001649D4"/>
    <w:rsid w:val="00193171"/>
    <w:rsid w:val="001B383A"/>
    <w:rsid w:val="001B52C1"/>
    <w:rsid w:val="001E3081"/>
    <w:rsid w:val="001E5C97"/>
    <w:rsid w:val="001F4EA7"/>
    <w:rsid w:val="00214079"/>
    <w:rsid w:val="002171FA"/>
    <w:rsid w:val="002224AB"/>
    <w:rsid w:val="0022678A"/>
    <w:rsid w:val="00256D7F"/>
    <w:rsid w:val="00256EBB"/>
    <w:rsid w:val="002574F6"/>
    <w:rsid w:val="002C161D"/>
    <w:rsid w:val="002E7996"/>
    <w:rsid w:val="003009F8"/>
    <w:rsid w:val="00323E6E"/>
    <w:rsid w:val="00340216"/>
    <w:rsid w:val="0036110E"/>
    <w:rsid w:val="00374956"/>
    <w:rsid w:val="0037695C"/>
    <w:rsid w:val="00385081"/>
    <w:rsid w:val="00392EB0"/>
    <w:rsid w:val="0039320D"/>
    <w:rsid w:val="00393A5E"/>
    <w:rsid w:val="003B479F"/>
    <w:rsid w:val="003C3862"/>
    <w:rsid w:val="004262F8"/>
    <w:rsid w:val="00430B92"/>
    <w:rsid w:val="00475724"/>
    <w:rsid w:val="004A660C"/>
    <w:rsid w:val="004A7DD6"/>
    <w:rsid w:val="004E05FD"/>
    <w:rsid w:val="00502A76"/>
    <w:rsid w:val="005069E4"/>
    <w:rsid w:val="00510F19"/>
    <w:rsid w:val="00543448"/>
    <w:rsid w:val="005464CA"/>
    <w:rsid w:val="005671D5"/>
    <w:rsid w:val="005E15D9"/>
    <w:rsid w:val="005F7D25"/>
    <w:rsid w:val="00626ECA"/>
    <w:rsid w:val="006363A1"/>
    <w:rsid w:val="006506D9"/>
    <w:rsid w:val="00665BCB"/>
    <w:rsid w:val="00681B1D"/>
    <w:rsid w:val="006917C3"/>
    <w:rsid w:val="006A183F"/>
    <w:rsid w:val="006B4BCB"/>
    <w:rsid w:val="006B7DA8"/>
    <w:rsid w:val="006C413F"/>
    <w:rsid w:val="006E3860"/>
    <w:rsid w:val="006F1192"/>
    <w:rsid w:val="007009BB"/>
    <w:rsid w:val="00710D1E"/>
    <w:rsid w:val="007139A6"/>
    <w:rsid w:val="007165E1"/>
    <w:rsid w:val="00742514"/>
    <w:rsid w:val="007455A0"/>
    <w:rsid w:val="00747417"/>
    <w:rsid w:val="007671F7"/>
    <w:rsid w:val="00786F50"/>
    <w:rsid w:val="007B3B94"/>
    <w:rsid w:val="00830503"/>
    <w:rsid w:val="00855F40"/>
    <w:rsid w:val="008853EF"/>
    <w:rsid w:val="00885FD9"/>
    <w:rsid w:val="00890EB6"/>
    <w:rsid w:val="00893B68"/>
    <w:rsid w:val="00893DEA"/>
    <w:rsid w:val="008A177C"/>
    <w:rsid w:val="008E0266"/>
    <w:rsid w:val="00901D91"/>
    <w:rsid w:val="00917384"/>
    <w:rsid w:val="00947D00"/>
    <w:rsid w:val="009526D7"/>
    <w:rsid w:val="00960BF6"/>
    <w:rsid w:val="00980C77"/>
    <w:rsid w:val="009D4F1C"/>
    <w:rsid w:val="009E5C43"/>
    <w:rsid w:val="009F0FC0"/>
    <w:rsid w:val="009F23C9"/>
    <w:rsid w:val="009F7544"/>
    <w:rsid w:val="00A06A9B"/>
    <w:rsid w:val="00A300CC"/>
    <w:rsid w:val="00A37B86"/>
    <w:rsid w:val="00A450F2"/>
    <w:rsid w:val="00A66337"/>
    <w:rsid w:val="00A81D0D"/>
    <w:rsid w:val="00A97BCA"/>
    <w:rsid w:val="00B14928"/>
    <w:rsid w:val="00B5283A"/>
    <w:rsid w:val="00B53876"/>
    <w:rsid w:val="00B63BE9"/>
    <w:rsid w:val="00B8191D"/>
    <w:rsid w:val="00B83A68"/>
    <w:rsid w:val="00B84738"/>
    <w:rsid w:val="00BA1E74"/>
    <w:rsid w:val="00BA5422"/>
    <w:rsid w:val="00BE2E3D"/>
    <w:rsid w:val="00BF1C62"/>
    <w:rsid w:val="00C26A04"/>
    <w:rsid w:val="00C347AF"/>
    <w:rsid w:val="00C40F9E"/>
    <w:rsid w:val="00C44EF1"/>
    <w:rsid w:val="00C51970"/>
    <w:rsid w:val="00C539FB"/>
    <w:rsid w:val="00C55DDE"/>
    <w:rsid w:val="00C61938"/>
    <w:rsid w:val="00C70659"/>
    <w:rsid w:val="00C74C75"/>
    <w:rsid w:val="00C9628F"/>
    <w:rsid w:val="00C965BF"/>
    <w:rsid w:val="00C97A1C"/>
    <w:rsid w:val="00CB6DAC"/>
    <w:rsid w:val="00CC58B8"/>
    <w:rsid w:val="00CD4A88"/>
    <w:rsid w:val="00CE2AFF"/>
    <w:rsid w:val="00CE3953"/>
    <w:rsid w:val="00D214C7"/>
    <w:rsid w:val="00D24B7C"/>
    <w:rsid w:val="00D45944"/>
    <w:rsid w:val="00DA3F0D"/>
    <w:rsid w:val="00DD04D6"/>
    <w:rsid w:val="00DF6DAE"/>
    <w:rsid w:val="00E01891"/>
    <w:rsid w:val="00E050E6"/>
    <w:rsid w:val="00E170A7"/>
    <w:rsid w:val="00E5660D"/>
    <w:rsid w:val="00E816AC"/>
    <w:rsid w:val="00E97468"/>
    <w:rsid w:val="00EA730D"/>
    <w:rsid w:val="00EB03C1"/>
    <w:rsid w:val="00EB58D2"/>
    <w:rsid w:val="00EC1AAA"/>
    <w:rsid w:val="00ED208C"/>
    <w:rsid w:val="00F1088D"/>
    <w:rsid w:val="00F16E5C"/>
    <w:rsid w:val="00F23B6E"/>
    <w:rsid w:val="00F32E08"/>
    <w:rsid w:val="00F34CAF"/>
    <w:rsid w:val="00F43A95"/>
    <w:rsid w:val="00F45C37"/>
    <w:rsid w:val="00F52280"/>
    <w:rsid w:val="00F60DFC"/>
    <w:rsid w:val="00F862E8"/>
    <w:rsid w:val="00F8763C"/>
    <w:rsid w:val="00F87A13"/>
    <w:rsid w:val="00F94432"/>
    <w:rsid w:val="00FA7301"/>
    <w:rsid w:val="00FB788F"/>
    <w:rsid w:val="00FE48F6"/>
    <w:rsid w:val="00FE6BF2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03C6"/>
  <w15:chartTrackingRefBased/>
  <w15:docId w15:val="{F5D9826C-EC10-4924-B50B-932AD6FD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00CC"/>
    <w:pPr>
      <w:spacing w:after="120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816AC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300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300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00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300CC"/>
    <w:rPr>
      <w:rFonts w:eastAsiaTheme="minorEastAsia"/>
      <w:color w:val="5A5A5A" w:themeColor="text1" w:themeTint="A5"/>
      <w:spacing w:val="15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214079"/>
    <w:pPr>
      <w:spacing w:after="0" w:line="240" w:lineRule="auto"/>
      <w:ind w:left="240" w:hanging="24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119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119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1192"/>
    <w:rPr>
      <w:vertAlign w:val="superscript"/>
    </w:rPr>
  </w:style>
  <w:style w:type="table" w:styleId="Grigliatabella">
    <w:name w:val="Table Grid"/>
    <w:basedOn w:val="Tabellanormale"/>
    <w:uiPriority w:val="39"/>
    <w:rsid w:val="0001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816AC"/>
    <w:rPr>
      <w:rFonts w:eastAsiaTheme="majorEastAsia" w:cstheme="majorBidi"/>
      <w:sz w:val="36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2E7996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E3860"/>
    <w:pPr>
      <w:tabs>
        <w:tab w:val="right" w:pos="9628"/>
      </w:tabs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E816A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974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468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974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468"/>
    <w:rPr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5DDE"/>
    <w:rPr>
      <w:color w:val="605E5C"/>
      <w:shd w:val="clear" w:color="auto" w:fill="E1DFDD"/>
    </w:rPr>
  </w:style>
  <w:style w:type="character" w:customStyle="1" w:styleId="fontcolor2fg">
    <w:name w:val="fontcolor2fg"/>
    <w:basedOn w:val="Carpredefinitoparagrafo"/>
    <w:rsid w:val="00C55DDE"/>
  </w:style>
  <w:style w:type="character" w:styleId="Enfasigrassetto">
    <w:name w:val="Strong"/>
    <w:basedOn w:val="Carpredefinitoparagrafo"/>
    <w:uiPriority w:val="22"/>
    <w:qFormat/>
    <w:rsid w:val="00F45C37"/>
    <w:rPr>
      <w:b/>
      <w:bCs/>
    </w:rPr>
  </w:style>
  <w:style w:type="paragraph" w:customStyle="1" w:styleId="justifycenter">
    <w:name w:val="justifycenter"/>
    <w:basedOn w:val="Normale"/>
    <w:rsid w:val="00F4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901D91"/>
    <w:pPr>
      <w:spacing w:after="100"/>
      <w:ind w:left="220"/>
    </w:pPr>
    <w:rPr>
      <w:rFonts w:eastAsiaTheme="minorEastAsia" w:cs="Times New Roman"/>
      <w:sz w:val="22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901D91"/>
    <w:pPr>
      <w:spacing w:after="100"/>
      <w:ind w:left="440"/>
    </w:pPr>
    <w:rPr>
      <w:rFonts w:eastAsiaTheme="minorEastAsia" w:cs="Times New Roman"/>
      <w:sz w:val="22"/>
      <w:lang w:eastAsia="it-IT"/>
    </w:rPr>
  </w:style>
  <w:style w:type="paragraph" w:styleId="Paragrafoelenco">
    <w:name w:val="List Paragraph"/>
    <w:basedOn w:val="Normale"/>
    <w:uiPriority w:val="34"/>
    <w:qFormat/>
    <w:rsid w:val="00392EB0"/>
    <w:pPr>
      <w:spacing w:after="0" w:line="240" w:lineRule="auto"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gioneria@comune.robbio.pv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ibuti@comune.robbio.pv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omune.robbio.pv.it/trasparenza-rifiu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une.robbio.pv.it/trasparenza-rifiuti/" TargetMode="External"/><Relationship Id="rId14" Type="http://schemas.openxmlformats.org/officeDocument/2006/relationships/hyperlink" Target="https://www.comune.robbio.pv.it/trasparenza-rifiut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7B09A-76E7-4F24-8DCF-542A94FF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tributi@neopa.it</dc:creator>
  <cp:keywords/>
  <dc:description/>
  <cp:lastModifiedBy>Ufficio Tributi</cp:lastModifiedBy>
  <cp:revision>36</cp:revision>
  <cp:lastPrinted>2023-09-05T08:55:00Z</cp:lastPrinted>
  <dcterms:created xsi:type="dcterms:W3CDTF">2023-09-05T08:55:00Z</dcterms:created>
  <dcterms:modified xsi:type="dcterms:W3CDTF">2024-03-29T10:38:00Z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-638777004</vt:i4>
  </property>
</Properties>
</file>